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hd w:fill="FFFFFF" w:val="clear"/>
        <w:jc w:val="center"/>
        <w:rPr/>
      </w:pPr>
      <w:r>
        <w:rPr/>
        <w:drawing>
          <wp:inline distT="0" distB="0" distL="0" distR="0">
            <wp:extent cx="396240" cy="68580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396240" cy="685800"/>
                    </a:xfrm>
                    <a:prstGeom prst="rect">
                      <a:avLst/>
                    </a:prstGeom>
                  </pic:spPr>
                </pic:pic>
              </a:graphicData>
            </a:graphic>
          </wp:inline>
        </w:drawing>
      </w:r>
    </w:p>
    <w:p>
      <w:pPr>
        <w:pStyle w:val="Normal"/>
        <w:widowControl w:val="false"/>
        <w:shd w:fill="FFFFFF" w:val="clear"/>
        <w:jc w:val="center"/>
        <w:rPr>
          <w:szCs w:val="26"/>
        </w:rPr>
      </w:pPr>
      <w:r>
        <w:rPr>
          <w:szCs w:val="26"/>
        </w:rPr>
      </w:r>
    </w:p>
    <w:p>
      <w:pPr>
        <w:pStyle w:val="Normal"/>
        <w:widowControl w:val="false"/>
        <w:shd w:fill="FFFFFF" w:val="clear"/>
        <w:tabs>
          <w:tab w:val="clear" w:pos="720"/>
          <w:tab w:val="left" w:pos="142" w:leader="none"/>
        </w:tabs>
        <w:jc w:val="center"/>
        <w:rPr>
          <w:b/>
          <w:b/>
          <w:bCs/>
          <w:sz w:val="32"/>
          <w:szCs w:val="32"/>
        </w:rPr>
      </w:pPr>
      <w:r>
        <w:rPr>
          <w:b/>
          <w:bCs/>
          <w:sz w:val="32"/>
          <w:szCs w:val="32"/>
        </w:rPr>
        <w:t>АДМИНИСТРАЦИЯ</w:t>
      </w:r>
    </w:p>
    <w:p>
      <w:pPr>
        <w:pStyle w:val="Normal"/>
        <w:widowControl w:val="false"/>
        <w:shd w:fill="FFFFFF" w:val="clear"/>
        <w:tabs>
          <w:tab w:val="clear" w:pos="720"/>
          <w:tab w:val="left" w:pos="142" w:leader="none"/>
        </w:tabs>
        <w:spacing w:lineRule="auto" w:line="360"/>
        <w:jc w:val="center"/>
        <w:rPr/>
      </w:pPr>
      <w:r>
        <w:rPr>
          <w:b/>
          <w:bCs/>
          <w:sz w:val="32"/>
          <w:szCs w:val="32"/>
          <w:lang w:eastAsia="en-US"/>
        </w:rPr>
        <w:t xml:space="preserve">УВАТСКОГО </w:t>
      </w:r>
      <w:r>
        <w:rPr>
          <w:b/>
          <w:bCs/>
          <w:sz w:val="32"/>
          <w:szCs w:val="32"/>
        </w:rPr>
        <w:t>МУНИЦИПАЛЬНОГО РАЙОНА</w:t>
      </w:r>
    </w:p>
    <w:p>
      <w:pPr>
        <w:pStyle w:val="Normal"/>
        <w:widowControl w:val="false"/>
        <w:shd w:fill="FFFFFF" w:val="clear"/>
        <w:tabs>
          <w:tab w:val="clear" w:pos="720"/>
          <w:tab w:val="left" w:pos="142" w:leader="none"/>
        </w:tabs>
        <w:ind w:hanging="0"/>
        <w:jc w:val="center"/>
        <w:rPr/>
      </w:pPr>
      <w:r>
        <w:rPr>
          <w:b/>
          <w:bCs/>
          <w:sz w:val="36"/>
          <w:szCs w:val="36"/>
        </w:rPr>
        <w:t xml:space="preserve">       </w:t>
      </w:r>
      <w:r>
        <w:rPr>
          <w:b/>
          <w:bCs/>
          <w:sz w:val="36"/>
          <w:szCs w:val="36"/>
        </w:rPr>
        <w:t>ПОСТАНОВЛЕНИЕ</w:t>
      </w:r>
    </w:p>
    <w:p>
      <w:pPr>
        <w:pStyle w:val="Normal"/>
        <w:widowControl w:val="false"/>
        <w:shd w:fill="FFFFFF" w:val="clear"/>
        <w:tabs>
          <w:tab w:val="clear" w:pos="720"/>
          <w:tab w:val="left" w:pos="142" w:leader="none"/>
        </w:tabs>
        <w:spacing w:lineRule="auto" w:line="276"/>
        <w:ind w:hanging="0"/>
        <w:jc w:val="center"/>
        <w:rPr>
          <w:rFonts w:eastAsia="Arial"/>
          <w:color w:val="000000"/>
          <w:sz w:val="25"/>
          <w:szCs w:val="25"/>
        </w:rPr>
      </w:pPr>
      <w:r>
        <w:rPr>
          <w:rFonts w:eastAsia="Arial"/>
          <w:color w:val="000000"/>
          <w:sz w:val="25"/>
          <w:szCs w:val="25"/>
        </w:rPr>
      </w:r>
    </w:p>
    <w:p>
      <w:pPr>
        <w:pStyle w:val="Normal"/>
        <w:widowControl w:val="false"/>
        <w:shd w:fill="FFFFFF" w:val="clear"/>
        <w:tabs>
          <w:tab w:val="clear" w:pos="720"/>
          <w:tab w:val="left" w:pos="142" w:leader="none"/>
        </w:tabs>
        <w:spacing w:lineRule="auto" w:line="276"/>
        <w:ind w:hanging="0"/>
        <w:rPr/>
      </w:pPr>
      <w:r>
        <w:rPr>
          <w:rFonts w:eastAsia="Arial"/>
          <w:color w:val="000000"/>
          <w:szCs w:val="26"/>
        </w:rPr>
        <w:t xml:space="preserve"> </w:t>
      </w:r>
      <w:r>
        <w:rPr>
          <w:rFonts w:eastAsia="Arial"/>
          <w:color w:val="000000"/>
          <w:szCs w:val="26"/>
        </w:rPr>
        <w:t xml:space="preserve">2024 г.                                      с.Уват                                               № </w:t>
      </w:r>
    </w:p>
    <w:p>
      <w:pPr>
        <w:pStyle w:val="Normal"/>
        <w:shd w:fill="FFFFFF" w:val="clear"/>
        <w:spacing w:lineRule="auto" w:line="276"/>
        <w:jc w:val="center"/>
        <w:rPr>
          <w:b/>
          <w:b/>
          <w:bCs/>
          <w:color w:val="000000"/>
          <w:szCs w:val="26"/>
        </w:rPr>
      </w:pPr>
      <w:r>
        <w:rPr>
          <w:b/>
          <w:bCs/>
          <w:color w:val="000000"/>
          <w:szCs w:val="26"/>
        </w:rPr>
      </w:r>
    </w:p>
    <w:p>
      <w:pPr>
        <w:pStyle w:val="Normal"/>
        <w:shd w:fill="FFFFFF" w:val="clear"/>
        <w:spacing w:lineRule="auto" w:line="276"/>
        <w:jc w:val="center"/>
        <w:rPr/>
      </w:pPr>
      <w:r>
        <w:rPr>
          <w:color w:val="000000"/>
          <w:szCs w:val="26"/>
        </w:rPr>
        <w:t>Об утверждении административного регламента предоставления муниципальной услуги: «</w:t>
      </w:r>
      <w:bookmarkStart w:id="0" w:name="__DdeLink__22942_2501042311"/>
      <w:r>
        <w:rPr>
          <w:color w:val="000000"/>
          <w:szCs w:val="26"/>
        </w:rPr>
        <w:t>Присвоение объектам адресации адресов и аннулировании таких адресов</w:t>
      </w:r>
      <w:bookmarkEnd w:id="0"/>
      <w:r>
        <w:rPr>
          <w:color w:val="000000"/>
          <w:szCs w:val="26"/>
        </w:rPr>
        <w:t>»</w:t>
      </w:r>
    </w:p>
    <w:p>
      <w:pPr>
        <w:pStyle w:val="Normal"/>
        <w:shd w:fill="FFFFFF" w:val="clear"/>
        <w:spacing w:lineRule="auto" w:line="276"/>
        <w:jc w:val="center"/>
        <w:rPr>
          <w:b/>
          <w:b/>
          <w:bCs/>
          <w:color w:val="000000"/>
          <w:szCs w:val="26"/>
        </w:rPr>
      </w:pPr>
      <w:r>
        <w:rPr>
          <w:b/>
          <w:bCs/>
          <w:color w:val="000000"/>
          <w:szCs w:val="26"/>
        </w:rPr>
      </w:r>
    </w:p>
    <w:p>
      <w:pPr>
        <w:pStyle w:val="Normal"/>
        <w:widowControl w:val="false"/>
        <w:shd w:fill="FFFFFF" w:val="clear"/>
        <w:tabs>
          <w:tab w:val="clear" w:pos="720"/>
          <w:tab w:val="left" w:pos="142" w:leader="none"/>
        </w:tabs>
        <w:spacing w:lineRule="auto" w:line="276"/>
        <w:rPr/>
      </w:pPr>
      <w:r>
        <w:rPr>
          <w:rFonts w:eastAsia="Arial"/>
          <w:color w:val="000000"/>
          <w:szCs w:val="26"/>
        </w:rPr>
        <w:t xml:space="preserve">В соответствии с Земельным кодексом Российской Федерации, Федеральным законом от 27.07.2010 №210-ФЗ «Об организации предоставления государственных и муниципальных услуг», </w:t>
      </w:r>
      <w:r>
        <w:rPr>
          <w:color w:val="000000"/>
          <w:szCs w:val="26"/>
        </w:rPr>
        <w:t>постановлением Правительства Российской Федерации от 19.11.2014 №1221 «Об утверждении Правил присвоения, изменения и аннулирования адресов» (далее по тексту - Правила), руководствуясь Уставом Уватского муниципального района Тюменской области, постановлением администрации Уватского муниципального района от 03.06.2016 №100 «О разработке и утверждении административных регламентов предоставления муниципальных услуг»</w:t>
      </w:r>
      <w:r>
        <w:rPr>
          <w:rFonts w:eastAsia="Arial"/>
          <w:color w:val="000000"/>
          <w:szCs w:val="26"/>
        </w:rPr>
        <w:t>:</w:t>
      </w:r>
    </w:p>
    <w:p>
      <w:pPr>
        <w:pStyle w:val="Normal"/>
        <w:widowControl w:val="false"/>
        <w:shd w:fill="FFFFFF" w:val="clear"/>
        <w:tabs>
          <w:tab w:val="clear" w:pos="720"/>
          <w:tab w:val="left" w:pos="142" w:leader="none"/>
        </w:tabs>
        <w:spacing w:lineRule="auto" w:line="276"/>
        <w:rPr/>
      </w:pPr>
      <w:r>
        <w:rPr>
          <w:color w:val="000000"/>
          <w:szCs w:val="26"/>
        </w:rPr>
        <w:t>1. Утвердить административный регламент предоставления муниципальной услуги: «Присвоение объектам адресации адресов и аннулировании таких адресов» согласно приложению к настоящему постановлению.</w:t>
      </w:r>
    </w:p>
    <w:p>
      <w:pPr>
        <w:pStyle w:val="Normal"/>
        <w:shd w:fill="FFFFFF" w:val="clear"/>
        <w:spacing w:lineRule="auto" w:line="276"/>
        <w:rPr/>
      </w:pPr>
      <w:r>
        <w:rPr>
          <w:szCs w:val="26"/>
        </w:rPr>
        <w:t>2. </w:t>
      </w:r>
      <w:r>
        <w:rPr>
          <w:rFonts w:eastAsia="Arial"/>
          <w:color w:val="000000"/>
          <w:szCs w:val="26"/>
        </w:rPr>
        <w:t>Установить, что положения регламента об идентификации и аутентификации заявителя (представителя заявителя) с использованием информационных технологий применяются со дня реализации мероприятий, предусмотренных Федеральным законом от 29.12.2020 № 479-ФЗ «О внесении изменений в отдельные законодательные акты Российской Федерации».</w:t>
      </w:r>
    </w:p>
    <w:p>
      <w:pPr>
        <w:pStyle w:val="Normal"/>
        <w:widowControl w:val="false"/>
        <w:shd w:fill="FFFFFF" w:val="clear"/>
        <w:tabs>
          <w:tab w:val="clear" w:pos="720"/>
          <w:tab w:val="left" w:pos="142" w:leader="none"/>
        </w:tabs>
        <w:spacing w:lineRule="auto" w:line="276"/>
        <w:rPr>
          <w:rFonts w:eastAsia="Calibri"/>
          <w:color w:val="000000"/>
          <w:szCs w:val="26"/>
          <w:lang w:eastAsia="en-US"/>
        </w:rPr>
      </w:pPr>
      <w:r>
        <w:rPr>
          <w:color w:val="000000"/>
          <w:szCs w:val="26"/>
        </w:rPr>
        <w:t>3. </w:t>
      </w:r>
      <w:r>
        <w:rPr>
          <w:rFonts w:eastAsia="Arial"/>
          <w:color w:val="000000"/>
          <w:szCs w:val="26"/>
        </w:rPr>
        <w:t>Установить, что положение регламента в части размещения нормативных правовых актов, регулирующих отношения, возникающие в связи с предоставлением муниципальной услуги в</w:t>
      </w:r>
      <w:r>
        <w:rPr>
          <w:rFonts w:eastAsia="Calibri"/>
          <w:color w:val="000000"/>
          <w:szCs w:val="26"/>
          <w:lang w:eastAsia="en-US"/>
        </w:rPr>
        <w:t xml:space="preserve"> федеральной государственной информационной системе «Федеральный реестр государственных и муниципальных услуг (функций)» применяется со дня обеспечения технической возможности реализации вышеуказанного мероприятия.</w:t>
      </w:r>
    </w:p>
    <w:p>
      <w:pPr>
        <w:pStyle w:val="Normal"/>
        <w:widowControl w:val="false"/>
        <w:shd w:fill="FFFFFF" w:val="clear"/>
        <w:tabs>
          <w:tab w:val="clear" w:pos="720"/>
          <w:tab w:val="left" w:pos="142" w:leader="none"/>
        </w:tabs>
        <w:spacing w:lineRule="auto" w:line="276"/>
        <w:rPr/>
      </w:pPr>
      <w:r>
        <w:rPr/>
        <w:t>4. Признать утратившими силу постановления Администрации Уватского муниципального района от 26.10.2021 №207 «Об утверждении административного регламента по предоставлению муниципальной услуги «</w:t>
      </w:r>
      <w:r>
        <w:rPr>
          <w:color w:val="000000"/>
          <w:szCs w:val="26"/>
        </w:rPr>
        <w:t>Присвоение объектам адресации адресов и аннулировании таких адресов</w:t>
      </w:r>
      <w:r>
        <w:rPr/>
        <w:t>»</w:t>
      </w:r>
    </w:p>
    <w:p>
      <w:pPr>
        <w:pStyle w:val="Normal"/>
        <w:widowControl w:val="false"/>
        <w:shd w:fill="FFFFFF" w:val="clear"/>
        <w:tabs>
          <w:tab w:val="clear" w:pos="720"/>
          <w:tab w:val="left" w:pos="142" w:leader="none"/>
        </w:tabs>
        <w:spacing w:lineRule="auto" w:line="276"/>
        <w:rPr/>
      </w:pPr>
      <w:r>
        <w:rPr>
          <w:color w:val="000000"/>
          <w:szCs w:val="26"/>
        </w:rPr>
        <w:t xml:space="preserve">5. Управлению имущественных отношений и земельных ресурсов Администрации Уватского муниципального район Тюменской области (специалисты: Старичихина А.В, Аникин И.С.) в течение 4 (четырех) рабочих дней со дня принятия настоящего постановления разместить в региональном реестре муниципальных услуг (функций) необходимых сведений в соответствии с требованиями, </w:t>
      </w:r>
      <w:r>
        <w:rPr>
          <w:rFonts w:eastAsia="Arial"/>
          <w:bCs/>
          <w:color w:val="000000"/>
          <w:szCs w:val="26"/>
        </w:rPr>
        <w:t>установленными для заполнения сведений об услугах (функциях) в региональном реестре муниципальных услуг (функций).</w:t>
      </w:r>
    </w:p>
    <w:p>
      <w:pPr>
        <w:pStyle w:val="Normal"/>
        <w:shd w:fill="FFFFFF" w:val="clear"/>
        <w:spacing w:lineRule="auto" w:line="276"/>
        <w:rPr/>
      </w:pPr>
      <w:r>
        <w:rPr>
          <w:rFonts w:eastAsia="Calibri"/>
          <w:szCs w:val="26"/>
        </w:rPr>
        <w:t>6. Сектору делопроизводства, документационного обеспечения и контроля Аппарата Главы Администрации Уватского муниципального района (Васильева А.Ю.):</w:t>
      </w:r>
    </w:p>
    <w:p>
      <w:pPr>
        <w:pStyle w:val="Normal"/>
        <w:shd w:fill="FFFFFF" w:val="clear"/>
        <w:spacing w:lineRule="auto" w:line="276"/>
        <w:rPr>
          <w:szCs w:val="26"/>
        </w:rPr>
      </w:pPr>
      <w:r>
        <w:rPr>
          <w:rFonts w:eastAsia="Arial"/>
          <w:szCs w:val="26"/>
        </w:rPr>
        <w:t>а) обнародовать путём его размещения на информационных стендах в местах, установленных Администрацией Уватского муниципального района;</w:t>
      </w:r>
    </w:p>
    <w:p>
      <w:pPr>
        <w:pStyle w:val="Normal"/>
        <w:shd w:fill="FFFFFF" w:val="clear"/>
        <w:spacing w:lineRule="auto" w:line="276"/>
        <w:rPr/>
      </w:pPr>
      <w:r>
        <w:rPr>
          <w:rFonts w:eastAsia="Arial"/>
          <w:szCs w:val="26"/>
        </w:rPr>
        <w:t>б) направить для размещения на официальном сайте Уватского муниципального района в сети «Интернет»</w:t>
      </w:r>
      <w:r>
        <w:rPr>
          <w:rFonts w:eastAsia="Calibri"/>
          <w:szCs w:val="26"/>
        </w:rPr>
        <w:t>.</w:t>
      </w:r>
    </w:p>
    <w:p>
      <w:pPr>
        <w:pStyle w:val="Normal"/>
        <w:shd w:fill="FFFFFF" w:val="clear"/>
        <w:spacing w:lineRule="auto" w:line="276"/>
        <w:rPr/>
      </w:pPr>
      <w:r>
        <w:rPr>
          <w:rFonts w:eastAsia="Calibri"/>
          <w:szCs w:val="26"/>
        </w:rPr>
        <w:t>7. </w:t>
      </w:r>
      <w:r>
        <w:rPr>
          <w:szCs w:val="26"/>
        </w:rPr>
        <w:t>Контроль исполнения настоящего постановления возложить на заместителя Главы Администрации Уватского муниципального района курирующего деятельность управления имущественных отношений и земельных ресурсов.</w:t>
      </w:r>
    </w:p>
    <w:p>
      <w:pPr>
        <w:pStyle w:val="Normal"/>
        <w:shd w:fill="FFFFFF" w:val="clear"/>
        <w:tabs>
          <w:tab w:val="clear" w:pos="720"/>
          <w:tab w:val="left" w:pos="851" w:leader="none"/>
          <w:tab w:val="left" w:pos="1080" w:leader="none"/>
        </w:tabs>
        <w:spacing w:lineRule="auto" w:line="276"/>
        <w:ind w:firstLine="556"/>
        <w:rPr>
          <w:szCs w:val="26"/>
        </w:rPr>
      </w:pPr>
      <w:r>
        <w:rPr>
          <w:szCs w:val="26"/>
        </w:rPr>
      </w:r>
    </w:p>
    <w:p>
      <w:pPr>
        <w:pStyle w:val="Normal"/>
        <w:shd w:fill="FFFFFF" w:val="clear"/>
        <w:spacing w:lineRule="auto" w:line="276"/>
        <w:rPr>
          <w:szCs w:val="26"/>
        </w:rPr>
      </w:pPr>
      <w:r>
        <w:rPr>
          <w:szCs w:val="26"/>
        </w:rPr>
      </w:r>
    </w:p>
    <w:p>
      <w:pPr>
        <w:pStyle w:val="Normal"/>
        <w:widowControl w:val="false"/>
        <w:shd w:fill="FFFFFF" w:val="clear"/>
        <w:tabs>
          <w:tab w:val="clear" w:pos="720"/>
          <w:tab w:val="left" w:pos="142" w:leader="none"/>
        </w:tabs>
        <w:spacing w:lineRule="auto" w:line="276"/>
        <w:ind w:hanging="0"/>
        <w:rPr>
          <w:szCs w:val="26"/>
        </w:rPr>
      </w:pPr>
      <w:r>
        <w:rPr>
          <w:color w:val="000000"/>
          <w:szCs w:val="26"/>
        </w:rPr>
        <w:t>Глава                                                                                                   В.И. Елизаров</w:t>
      </w:r>
    </w:p>
    <w:p>
      <w:pPr>
        <w:pStyle w:val="Normal"/>
        <w:widowControl w:val="false"/>
        <w:shd w:fill="FFFFFF" w:val="clear"/>
        <w:tabs>
          <w:tab w:val="clear" w:pos="720"/>
          <w:tab w:val="left" w:pos="142" w:leader="none"/>
        </w:tabs>
        <w:rPr>
          <w:color w:val="000000"/>
          <w:szCs w:val="26"/>
        </w:rPr>
      </w:pPr>
      <w:r>
        <w:rPr>
          <w:color w:val="000000"/>
          <w:szCs w:val="26"/>
        </w:rPr>
      </w:r>
    </w:p>
    <w:p>
      <w:pPr>
        <w:pStyle w:val="Normal"/>
        <w:widowControl w:val="false"/>
        <w:shd w:fill="FFFFFF" w:val="clear"/>
        <w:tabs>
          <w:tab w:val="clear" w:pos="720"/>
          <w:tab w:val="left" w:pos="142" w:leader="none"/>
        </w:tabs>
        <w:rPr>
          <w:color w:val="000000"/>
          <w:szCs w:val="26"/>
        </w:rPr>
      </w:pPr>
      <w:r>
        <w:rPr>
          <w:color w:val="000000"/>
          <w:szCs w:val="26"/>
        </w:rPr>
      </w:r>
    </w:p>
    <w:p>
      <w:pPr>
        <w:pStyle w:val="Normal"/>
        <w:widowControl w:val="false"/>
        <w:shd w:fill="FFFFFF" w:val="clear"/>
        <w:tabs>
          <w:tab w:val="clear" w:pos="720"/>
          <w:tab w:val="left" w:pos="142" w:leader="none"/>
        </w:tabs>
        <w:rPr>
          <w:color w:val="000000"/>
          <w:szCs w:val="26"/>
        </w:rPr>
      </w:pPr>
      <w:r>
        <w:rPr>
          <w:color w:val="000000"/>
          <w:szCs w:val="26"/>
        </w:rPr>
      </w:r>
    </w:p>
    <w:p>
      <w:pPr>
        <w:pStyle w:val="Normal"/>
        <w:widowControl w:val="false"/>
        <w:shd w:fill="FFFFFF" w:val="clear"/>
        <w:tabs>
          <w:tab w:val="clear" w:pos="720"/>
          <w:tab w:val="left" w:pos="142" w:leader="none"/>
        </w:tabs>
        <w:rPr>
          <w:color w:val="000000"/>
          <w:sz w:val="25"/>
          <w:szCs w:val="25"/>
        </w:rPr>
      </w:pPr>
      <w:r>
        <w:rPr>
          <w:color w:val="000000"/>
          <w:sz w:val="25"/>
          <w:szCs w:val="25"/>
        </w:rPr>
      </w:r>
    </w:p>
    <w:p>
      <w:pPr>
        <w:pStyle w:val="Normal"/>
        <w:widowControl w:val="false"/>
        <w:shd w:fill="FFFFFF" w:val="clear"/>
        <w:tabs>
          <w:tab w:val="clear" w:pos="720"/>
          <w:tab w:val="left" w:pos="142" w:leader="none"/>
        </w:tabs>
        <w:rPr>
          <w:color w:val="000000"/>
          <w:sz w:val="25"/>
          <w:szCs w:val="25"/>
        </w:rPr>
      </w:pPr>
      <w:r>
        <w:rPr>
          <w:color w:val="000000"/>
          <w:sz w:val="25"/>
          <w:szCs w:val="25"/>
        </w:rPr>
      </w:r>
    </w:p>
    <w:p>
      <w:pPr>
        <w:pStyle w:val="Normal"/>
        <w:shd w:fill="FFFFFF" w:val="clear"/>
        <w:ind w:firstLine="567"/>
        <w:rPr>
          <w:rFonts w:eastAsia="Arial"/>
          <w:color w:val="000000"/>
          <w:sz w:val="25"/>
          <w:szCs w:val="25"/>
        </w:rPr>
      </w:pPr>
      <w:r>
        <w:rPr>
          <w:rFonts w:eastAsia="Arial"/>
          <w:color w:val="000000"/>
          <w:sz w:val="25"/>
          <w:szCs w:val="25"/>
        </w:rPr>
      </w:r>
      <w:r>
        <w:br w:type="page"/>
      </w:r>
    </w:p>
    <w:p>
      <w:pPr>
        <w:pStyle w:val="Normal"/>
        <w:shd w:fill="FFFFFF" w:val="clear"/>
        <w:jc w:val="right"/>
        <w:rPr>
          <w:color w:val="000000"/>
          <w:szCs w:val="26"/>
        </w:rPr>
      </w:pPr>
      <w:r>
        <w:rPr>
          <w:color w:val="000000"/>
          <w:szCs w:val="26"/>
        </w:rPr>
        <w:t>Приложение</w:t>
      </w:r>
    </w:p>
    <w:p>
      <w:pPr>
        <w:pStyle w:val="Normal"/>
        <w:shd w:fill="FFFFFF" w:val="clear"/>
        <w:jc w:val="right"/>
        <w:rPr>
          <w:color w:val="000000"/>
          <w:szCs w:val="26"/>
        </w:rPr>
      </w:pPr>
      <w:r>
        <w:rPr>
          <w:color w:val="000000"/>
          <w:szCs w:val="26"/>
        </w:rPr>
        <w:t xml:space="preserve">к постановлению администрации </w:t>
      </w:r>
    </w:p>
    <w:p>
      <w:pPr>
        <w:pStyle w:val="Normal"/>
        <w:shd w:fill="FFFFFF" w:val="clear"/>
        <w:jc w:val="right"/>
        <w:rPr>
          <w:color w:val="000000"/>
          <w:szCs w:val="26"/>
        </w:rPr>
      </w:pPr>
      <w:r>
        <w:rPr>
          <w:color w:val="000000"/>
          <w:szCs w:val="26"/>
        </w:rPr>
        <w:t>Уватского муниципального района</w:t>
      </w:r>
    </w:p>
    <w:p>
      <w:pPr>
        <w:pStyle w:val="Normal"/>
        <w:shd w:fill="FFFFFF" w:val="clear"/>
        <w:jc w:val="right"/>
        <w:rPr/>
      </w:pPr>
      <w:r>
        <w:rPr>
          <w:color w:val="000000"/>
          <w:szCs w:val="26"/>
        </w:rPr>
        <w:t xml:space="preserve">от 2024 г. № </w:t>
      </w:r>
    </w:p>
    <w:p>
      <w:pPr>
        <w:pStyle w:val="Normal"/>
        <w:shd w:fill="FFFFFF" w:val="clear"/>
        <w:rPr>
          <w:b/>
          <w:b/>
          <w:bCs/>
          <w:color w:val="000000"/>
          <w:sz w:val="25"/>
          <w:szCs w:val="25"/>
        </w:rPr>
      </w:pPr>
      <w:r>
        <w:rPr>
          <w:b/>
          <w:bCs/>
          <w:color w:val="000000"/>
          <w:sz w:val="25"/>
          <w:szCs w:val="25"/>
        </w:rPr>
      </w:r>
    </w:p>
    <w:p>
      <w:pPr>
        <w:pStyle w:val="Normal"/>
        <w:widowControl w:val="false"/>
        <w:shd w:fill="FFFFFF" w:val="clear"/>
        <w:jc w:val="center"/>
        <w:rPr>
          <w:b/>
          <w:b/>
          <w:bCs/>
          <w:color w:val="auto"/>
          <w:sz w:val="24"/>
        </w:rPr>
      </w:pPr>
      <w:r>
        <w:rPr>
          <w:b/>
          <w:bCs/>
          <w:color w:val="auto"/>
          <w:sz w:val="24"/>
        </w:rPr>
        <w:t>Административный регламент</w:t>
      </w:r>
    </w:p>
    <w:p>
      <w:pPr>
        <w:pStyle w:val="Normal"/>
        <w:widowControl w:val="false"/>
        <w:shd w:fill="FFFFFF" w:val="clear"/>
        <w:jc w:val="center"/>
        <w:rPr>
          <w:b/>
          <w:b/>
          <w:bCs/>
          <w:color w:val="auto"/>
          <w:sz w:val="24"/>
        </w:rPr>
      </w:pPr>
      <w:r>
        <w:rPr>
          <w:b/>
          <w:bCs/>
          <w:color w:val="auto"/>
          <w:sz w:val="24"/>
        </w:rPr>
        <w:t>предоставления муниципальной услуги</w:t>
      </w:r>
    </w:p>
    <w:p>
      <w:pPr>
        <w:pStyle w:val="Normal"/>
        <w:widowControl w:val="false"/>
        <w:shd w:fill="FFFFFF" w:val="clear"/>
        <w:jc w:val="center"/>
        <w:rPr/>
      </w:pPr>
      <w:r>
        <w:rPr>
          <w:b/>
          <w:bCs/>
          <w:color w:val="auto"/>
          <w:sz w:val="24"/>
        </w:rPr>
        <w:t>«Присвоение объектам адресации адресов и аннулирование таких адресов»</w:t>
      </w:r>
    </w:p>
    <w:p>
      <w:pPr>
        <w:pStyle w:val="Normal"/>
        <w:widowControl w:val="false"/>
        <w:shd w:fill="FFFFFF" w:val="clear"/>
        <w:jc w:val="center"/>
        <w:rPr>
          <w:color w:val="auto"/>
          <w:sz w:val="24"/>
        </w:rPr>
      </w:pPr>
      <w:r>
        <w:rPr>
          <w:color w:val="auto"/>
          <w:sz w:val="24"/>
        </w:rPr>
      </w:r>
    </w:p>
    <w:p>
      <w:pPr>
        <w:pStyle w:val="Normal"/>
        <w:widowControl w:val="false"/>
        <w:shd w:fill="FFFFFF" w:val="clear"/>
        <w:jc w:val="center"/>
        <w:rPr>
          <w:b/>
          <w:b/>
          <w:bCs/>
          <w:color w:val="auto"/>
          <w:sz w:val="24"/>
        </w:rPr>
      </w:pPr>
      <w:bookmarkStart w:id="1" w:name="Par50"/>
      <w:bookmarkEnd w:id="1"/>
      <w:r>
        <w:rPr>
          <w:b/>
          <w:bCs/>
          <w:color w:val="auto"/>
          <w:sz w:val="24"/>
        </w:rPr>
        <w:t>I. Общие положения</w:t>
      </w:r>
    </w:p>
    <w:p>
      <w:pPr>
        <w:pStyle w:val="NormalWeb"/>
        <w:shd w:fill="FFFFFF" w:val="clear"/>
        <w:spacing w:before="0" w:after="0"/>
        <w:jc w:val="center"/>
        <w:rPr>
          <w:rFonts w:ascii="Arial" w:hAnsi="Arial" w:cs="Arial"/>
          <w:i/>
          <w:i/>
          <w:iCs/>
          <w:color w:val="auto"/>
        </w:rPr>
      </w:pPr>
      <w:r>
        <w:rPr>
          <w:rFonts w:cs="Arial" w:ascii="Arial" w:hAnsi="Arial"/>
          <w:i/>
          <w:iCs/>
          <w:color w:val="auto"/>
        </w:rPr>
      </w:r>
    </w:p>
    <w:p>
      <w:pPr>
        <w:pStyle w:val="NormalWeb"/>
        <w:shd w:fill="FFFFFF" w:val="clear"/>
        <w:spacing w:before="0" w:after="0"/>
        <w:rPr/>
      </w:pPr>
      <w:r>
        <w:rPr>
          <w:rFonts w:cs="Arial" w:ascii="Arial" w:hAnsi="Arial"/>
          <w:b/>
          <w:bCs/>
          <w:color w:val="auto"/>
        </w:rPr>
        <w:t>1.1. Предмет регулирования административного регламента</w:t>
      </w:r>
    </w:p>
    <w:p>
      <w:pPr>
        <w:pStyle w:val="Normal"/>
        <w:widowControl w:val="false"/>
        <w:shd w:fill="FFFFFF" w:val="clear"/>
        <w:rPr>
          <w:color w:val="auto"/>
          <w:sz w:val="24"/>
        </w:rPr>
      </w:pPr>
      <w:r>
        <w:rPr>
          <w:color w:val="auto"/>
          <w:sz w:val="24"/>
        </w:rPr>
        <w:t>Настоящий административный регламент (далее - Регламент) устанавливает порядок и стандарт предоставления муниципальной услуги по присвоению объектам адресации адресов и аннулированию таких адресов</w:t>
      </w:r>
      <w:r>
        <w:rPr>
          <w:b/>
          <w:bCs/>
          <w:color w:val="auto"/>
          <w:sz w:val="24"/>
        </w:rPr>
        <w:t xml:space="preserve">, </w:t>
      </w:r>
      <w:r>
        <w:rPr>
          <w:color w:val="auto"/>
          <w:sz w:val="24"/>
        </w:rPr>
        <w:t>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района (далее — Администрация)</w:t>
      </w:r>
      <w:r>
        <w:rPr>
          <w:b/>
          <w:bCs/>
          <w:color w:val="auto"/>
          <w:sz w:val="24"/>
        </w:rPr>
        <w:t>.</w:t>
      </w:r>
    </w:p>
    <w:p>
      <w:pPr>
        <w:pStyle w:val="Normal"/>
        <w:shd w:fill="FFFFFF" w:val="clear"/>
        <w:jc w:val="center"/>
        <w:rPr>
          <w:i/>
          <w:i/>
          <w:iCs/>
          <w:color w:val="auto"/>
          <w:sz w:val="24"/>
        </w:rPr>
      </w:pPr>
      <w:r>
        <w:rPr>
          <w:i/>
          <w:iCs/>
          <w:color w:val="auto"/>
          <w:sz w:val="24"/>
        </w:rPr>
      </w:r>
    </w:p>
    <w:p>
      <w:pPr>
        <w:pStyle w:val="NormalWeb"/>
        <w:shd w:fill="FFFFFF" w:val="clear"/>
        <w:spacing w:before="0" w:after="0"/>
        <w:rPr/>
      </w:pPr>
      <w:r>
        <w:rPr>
          <w:rFonts w:cs="Arial" w:ascii="Arial" w:hAnsi="Arial"/>
          <w:b/>
          <w:bCs/>
          <w:color w:val="auto"/>
        </w:rPr>
        <w:t>1.2. Круг заявителей</w:t>
      </w:r>
    </w:p>
    <w:p>
      <w:pPr>
        <w:pStyle w:val="Normal"/>
        <w:widowControl w:val="false"/>
        <w:shd w:fill="FFFFFF" w:val="clear"/>
        <w:rPr>
          <w:color w:val="auto"/>
          <w:sz w:val="24"/>
        </w:rPr>
      </w:pPr>
      <w:r>
        <w:rPr>
          <w:color w:val="auto"/>
          <w:sz w:val="24"/>
        </w:rPr>
        <w:t>1.2.1. Муниципальная услуга по присвоению объектам адресации адресов и аннулированию таких адресов предоставляется:</w:t>
      </w:r>
    </w:p>
    <w:p>
      <w:pPr>
        <w:pStyle w:val="Normal"/>
        <w:widowControl w:val="false"/>
        <w:shd w:fill="FFFFFF" w:val="clear"/>
        <w:rPr>
          <w:sz w:val="24"/>
        </w:rPr>
      </w:pPr>
      <w:r>
        <w:rPr>
          <w:color w:val="auto"/>
          <w:sz w:val="24"/>
        </w:rPr>
        <w:t>а) физическим и юридическим лицам, являющимся собственниками объектов адресации (далее - заявитель);</w:t>
      </w:r>
    </w:p>
    <w:p>
      <w:pPr>
        <w:pStyle w:val="Normal"/>
        <w:widowControl w:val="false"/>
        <w:shd w:fill="FFFFFF" w:val="clear"/>
        <w:rPr>
          <w:color w:val="auto"/>
          <w:sz w:val="24"/>
        </w:rPr>
      </w:pPr>
      <w:r>
        <w:rPr>
          <w:color w:val="auto"/>
          <w:sz w:val="24"/>
        </w:rPr>
        <w:t>б) физическим и юридическим лицам, обладающим одним из следующих вещных прав на объект адресации (далее - заявитель):</w:t>
      </w:r>
    </w:p>
    <w:p>
      <w:pPr>
        <w:pStyle w:val="Normal"/>
        <w:widowControl w:val="false"/>
        <w:shd w:fill="FFFFFF" w:val="clear"/>
        <w:rPr>
          <w:color w:val="auto"/>
          <w:sz w:val="24"/>
        </w:rPr>
      </w:pPr>
      <w:r>
        <w:rPr>
          <w:color w:val="auto"/>
          <w:sz w:val="24"/>
        </w:rPr>
        <w:t>право хозяйственного ведения;</w:t>
      </w:r>
    </w:p>
    <w:p>
      <w:pPr>
        <w:pStyle w:val="Normal"/>
        <w:widowControl w:val="false"/>
        <w:shd w:fill="FFFFFF" w:val="clear"/>
        <w:rPr>
          <w:color w:val="auto"/>
          <w:sz w:val="24"/>
        </w:rPr>
      </w:pPr>
      <w:r>
        <w:rPr>
          <w:color w:val="auto"/>
          <w:sz w:val="24"/>
        </w:rPr>
        <w:t>право оперативного управления;</w:t>
      </w:r>
    </w:p>
    <w:p>
      <w:pPr>
        <w:pStyle w:val="Normal"/>
        <w:widowControl w:val="false"/>
        <w:shd w:fill="FFFFFF" w:val="clear"/>
        <w:rPr/>
      </w:pPr>
      <w:r>
        <w:rPr>
          <w:color w:val="auto"/>
          <w:sz w:val="24"/>
        </w:rPr>
        <w:t>право пожизненно наследуемого владения;</w:t>
      </w:r>
    </w:p>
    <w:p>
      <w:pPr>
        <w:pStyle w:val="Normal"/>
        <w:widowControl w:val="false"/>
        <w:shd w:fill="FFFFFF" w:val="clear"/>
        <w:rPr/>
      </w:pPr>
      <w:r>
        <w:rPr>
          <w:color w:val="auto"/>
          <w:sz w:val="24"/>
        </w:rPr>
        <w:t>право постоянного (бессрочного) пользования.</w:t>
      </w:r>
    </w:p>
    <w:p>
      <w:pPr>
        <w:pStyle w:val="Normal"/>
        <w:widowControl w:val="false"/>
        <w:shd w:fill="FFFFFF" w:val="clear"/>
        <w:rPr/>
      </w:pPr>
      <w:r>
        <w:rPr>
          <w:color w:val="auto"/>
          <w:sz w:val="24"/>
        </w:rPr>
        <w:t>1.2.2.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pPr>
        <w:pStyle w:val="Normal"/>
        <w:widowControl w:val="false"/>
        <w:shd w:fill="FFFFFF" w:val="clear"/>
        <w:rPr/>
      </w:pPr>
      <w:bookmarkStart w:id="2" w:name="Par701"/>
      <w:bookmarkEnd w:id="2"/>
      <w:r>
        <w:rPr>
          <w:color w:val="auto"/>
          <w:sz w:val="24"/>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pPr>
        <w:pStyle w:val="Normal"/>
        <w:widowControl w:val="false"/>
        <w:shd w:fill="FFFFFF" w:val="clear"/>
        <w:rPr/>
      </w:pPr>
      <w:r>
        <w:rPr>
          <w:color w:val="auto"/>
          <w:sz w:val="24"/>
        </w:rPr>
        <w:t xml:space="preserve">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 </w:t>
      </w:r>
    </w:p>
    <w:p>
      <w:pPr>
        <w:pStyle w:val="Normal"/>
        <w:widowControl w:val="false"/>
        <w:shd w:fill="FFFFFF" w:val="clear"/>
        <w:rPr/>
      </w:pPr>
      <w:r>
        <w:rPr>
          <w:color w:val="auto"/>
          <w:sz w:val="24"/>
        </w:rPr>
        <w:t>С заявлением вправе обратиться 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(далее - Федеральный закон № 221-ФЗ), кадастровые работы или комплексные кадастровые работы в отношении соответствующего объекта недвижимости, являющегося объектом адресации.</w:t>
      </w:r>
    </w:p>
    <w:p>
      <w:pPr>
        <w:pStyle w:val="Normal"/>
        <w:shd w:fill="FFFFFF" w:val="clear"/>
        <w:rPr>
          <w:color w:val="auto"/>
          <w:sz w:val="24"/>
          <w:highlight w:val="yellow"/>
        </w:rPr>
      </w:pPr>
      <w:r>
        <w:rPr>
          <w:color w:val="auto"/>
          <w:sz w:val="24"/>
          <w:highlight w:val="yellow"/>
        </w:rPr>
      </w:r>
    </w:p>
    <w:p>
      <w:pPr>
        <w:pStyle w:val="Normal"/>
        <w:rPr>
          <w:b/>
          <w:b/>
          <w:bCs/>
          <w:color w:val="auto"/>
          <w:sz w:val="24"/>
        </w:rPr>
      </w:pPr>
      <w:r>
        <w:rPr>
          <w:b/>
          <w:bCs/>
          <w:color w:val="auto"/>
          <w:sz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а также результата, за предоставлением которого обратился заявитель</w:t>
      </w:r>
    </w:p>
    <w:p>
      <w:pPr>
        <w:pStyle w:val="ConsPlusNormal"/>
        <w:shd w:fill="FFFFFF" w:val="clear"/>
        <w:jc w:val="both"/>
        <w:rPr>
          <w:color w:val="1C1C1C"/>
          <w:sz w:val="24"/>
          <w:szCs w:val="24"/>
        </w:rPr>
      </w:pPr>
      <w:r>
        <w:rPr>
          <w:color w:val="1C1C1C"/>
          <w:sz w:val="24"/>
          <w:szCs w:val="24"/>
        </w:rPr>
      </w:r>
    </w:p>
    <w:p>
      <w:pPr>
        <w:pStyle w:val="Normal"/>
        <w:rPr>
          <w:sz w:val="24"/>
        </w:rPr>
      </w:pPr>
      <w:r>
        <w:rPr>
          <w:sz w:val="24"/>
        </w:rPr>
        <w:t>Предоставление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а также результата, за предоставлением которого обратился заявитель, не предусмотрено.</w:t>
      </w:r>
    </w:p>
    <w:p>
      <w:pPr>
        <w:pStyle w:val="Normal"/>
        <w:shd w:fill="FFFFFF" w:val="clear"/>
        <w:rPr>
          <w:bCs/>
          <w:strike/>
          <w:color w:val="auto"/>
          <w:sz w:val="24"/>
          <w:highlight w:val="yellow"/>
          <w:lang w:eastAsia="ru-RU"/>
        </w:rPr>
      </w:pPr>
      <w:r>
        <w:rPr>
          <w:bCs/>
          <w:strike/>
          <w:color w:val="auto"/>
          <w:sz w:val="24"/>
          <w:highlight w:val="yellow"/>
          <w:lang w:eastAsia="ru-RU"/>
        </w:rPr>
      </w:r>
      <w:bookmarkStart w:id="3" w:name="Par162"/>
      <w:bookmarkStart w:id="4" w:name="Par162"/>
      <w:bookmarkEnd w:id="4"/>
    </w:p>
    <w:p>
      <w:pPr>
        <w:pStyle w:val="Normal"/>
        <w:widowControl w:val="false"/>
        <w:shd w:fill="FFFFFF" w:val="clear"/>
        <w:ind w:hanging="0"/>
        <w:jc w:val="center"/>
        <w:rPr>
          <w:b/>
          <w:b/>
          <w:bCs/>
          <w:color w:val="auto"/>
          <w:sz w:val="24"/>
        </w:rPr>
      </w:pPr>
      <w:r>
        <w:rPr>
          <w:b/>
          <w:bCs/>
          <w:color w:val="auto"/>
          <w:sz w:val="24"/>
        </w:rPr>
        <w:t>II. Стандарт предоставления муниципальной услуги</w:t>
      </w:r>
    </w:p>
    <w:p>
      <w:pPr>
        <w:pStyle w:val="Normal"/>
        <w:widowControl w:val="false"/>
        <w:shd w:fill="FFFFFF" w:val="clear"/>
        <w:rPr>
          <w:color w:val="auto"/>
          <w:sz w:val="24"/>
        </w:rPr>
      </w:pPr>
      <w:r>
        <w:rPr>
          <w:color w:val="auto"/>
          <w:sz w:val="24"/>
        </w:rPr>
      </w:r>
    </w:p>
    <w:p>
      <w:pPr>
        <w:pStyle w:val="NormalWeb"/>
        <w:shd w:fill="FFFFFF" w:val="clear"/>
        <w:spacing w:before="0" w:after="0"/>
        <w:rPr/>
      </w:pPr>
      <w:r>
        <w:rPr>
          <w:rFonts w:cs="Arial" w:ascii="Arial" w:hAnsi="Arial"/>
          <w:b/>
          <w:bCs/>
          <w:color w:val="auto"/>
        </w:rPr>
        <w:t>2.1. Наименование муниципальной услуги</w:t>
      </w:r>
    </w:p>
    <w:p>
      <w:pPr>
        <w:pStyle w:val="Normal"/>
        <w:widowControl w:val="false"/>
        <w:shd w:fill="FFFFFF" w:val="clear"/>
        <w:rPr>
          <w:color w:val="auto"/>
          <w:sz w:val="24"/>
        </w:rPr>
      </w:pPr>
      <w:r>
        <w:rPr>
          <w:color w:val="auto"/>
          <w:sz w:val="24"/>
        </w:rPr>
        <w:t>Присвоение объектам адресации адресов и аннулирование таких адресов.</w:t>
      </w:r>
    </w:p>
    <w:p>
      <w:pPr>
        <w:pStyle w:val="Normal"/>
        <w:widowControl w:val="false"/>
        <w:shd w:fill="FFFFFF" w:val="clear"/>
        <w:rPr>
          <w:color w:val="auto"/>
          <w:sz w:val="24"/>
        </w:rPr>
      </w:pPr>
      <w:r>
        <w:rPr>
          <w:color w:val="auto"/>
          <w:sz w:val="24"/>
        </w:rPr>
      </w:r>
    </w:p>
    <w:p>
      <w:pPr>
        <w:pStyle w:val="NormalWeb"/>
        <w:shd w:fill="FFFFFF" w:val="clear"/>
        <w:spacing w:before="0" w:after="0"/>
        <w:rPr/>
      </w:pPr>
      <w:r>
        <w:rPr>
          <w:rFonts w:cs="Arial" w:ascii="Arial" w:hAnsi="Arial"/>
          <w:b/>
          <w:bCs/>
          <w:color w:val="auto"/>
        </w:rPr>
        <w:t>2.2. Наименование органа, предоставляющего муниципальную услугу</w:t>
      </w:r>
    </w:p>
    <w:p>
      <w:pPr>
        <w:pStyle w:val="Normal"/>
        <w:rPr>
          <w:color w:val="auto"/>
          <w:sz w:val="24"/>
        </w:rPr>
      </w:pPr>
      <w:r>
        <w:rPr>
          <w:color w:val="auto"/>
          <w:sz w:val="24"/>
        </w:rPr>
        <w:t>Предоставление муниципальной услуги осуществляется Администрацией.</w:t>
      </w:r>
    </w:p>
    <w:p>
      <w:pPr>
        <w:pStyle w:val="Normal"/>
        <w:rPr/>
      </w:pPr>
      <w:r>
        <w:rPr>
          <w:color w:val="auto"/>
          <w:sz w:val="24"/>
        </w:rPr>
        <w:t>Органом Администрации, непосредственно предоставляющим услугу, является Управление имущественных отношений и земельных ресурсов</w:t>
      </w:r>
      <w:r>
        <w:rPr>
          <w:rStyle w:val="FootnoteCharacters"/>
          <w:color w:val="auto"/>
          <w:sz w:val="24"/>
        </w:rPr>
        <w:t xml:space="preserve"> </w:t>
      </w:r>
      <w:r>
        <w:rPr>
          <w:color w:val="auto"/>
          <w:sz w:val="24"/>
        </w:rPr>
        <w:t>(далее – Управление)</w:t>
      </w:r>
      <w:r>
        <w:rPr>
          <w:b/>
          <w:bCs/>
          <w:color w:val="auto"/>
          <w:sz w:val="24"/>
        </w:rPr>
        <w:t>.</w:t>
      </w:r>
    </w:p>
    <w:p>
      <w:pPr>
        <w:pStyle w:val="Style28"/>
        <w:widowControl w:val="false"/>
        <w:shd w:fill="FFFFFF" w:val="clear"/>
        <w:spacing w:lineRule="auto" w:line="240" w:before="0" w:after="0"/>
        <w:rPr/>
      </w:pPr>
      <w:r>
        <w:rPr>
          <w:color w:val="auto"/>
          <w:sz w:val="24"/>
        </w:rPr>
        <w:t>Предоставление муниципальной услуги в части информирования граждан о порядке предоставления муниципальной услуги, приеме документов, необходимых для предоставления муниципальной услуги, выдаче результата муниципальной услуги осуществляется Многофункциональным центром предоставления государственных и муниципальных услуг (далее — МФЦ) в соответствии с заключенным соглашением о взаимодействии между Администрацией и МФЦ.</w:t>
      </w:r>
    </w:p>
    <w:p>
      <w:pPr>
        <w:pStyle w:val="Normal"/>
        <w:widowControl w:val="false"/>
        <w:shd w:fill="FFFFFF" w:val="clear"/>
        <w:rPr>
          <w:color w:val="auto"/>
          <w:sz w:val="24"/>
        </w:rPr>
      </w:pPr>
      <w:r>
        <w:rPr>
          <w:color w:val="auto"/>
          <w:sz w:val="24"/>
        </w:rPr>
      </w:r>
    </w:p>
    <w:p>
      <w:pPr>
        <w:pStyle w:val="Normal"/>
        <w:rPr/>
      </w:pPr>
      <w:r>
        <w:rPr>
          <w:b/>
          <w:bCs/>
          <w:color w:val="auto"/>
          <w:sz w:val="24"/>
        </w:rPr>
        <w:t>2.3. Описание результата предоставления муниципальной услуги</w:t>
      </w:r>
    </w:p>
    <w:p>
      <w:pPr>
        <w:pStyle w:val="Normal"/>
        <w:rPr/>
      </w:pPr>
      <w:r>
        <w:rPr>
          <w:color w:val="auto"/>
          <w:sz w:val="24"/>
        </w:rPr>
        <w:t>Результатом предоставления муниципальной услуги является:</w:t>
      </w:r>
    </w:p>
    <w:p>
      <w:pPr>
        <w:pStyle w:val="Normal"/>
        <w:rPr/>
      </w:pPr>
      <w:r>
        <w:rPr>
          <w:color w:val="auto"/>
          <w:sz w:val="24"/>
        </w:rPr>
        <w:t>а) решение о присвоении объекту адресации адреса;</w:t>
      </w:r>
    </w:p>
    <w:p>
      <w:pPr>
        <w:pStyle w:val="Normal"/>
        <w:rPr/>
      </w:pPr>
      <w:r>
        <w:rPr>
          <w:color w:val="auto"/>
          <w:sz w:val="24"/>
        </w:rPr>
        <w:t>б) решение об аннулировании адреса объекта адресации;</w:t>
      </w:r>
    </w:p>
    <w:p>
      <w:pPr>
        <w:pStyle w:val="Normal"/>
        <w:rPr/>
      </w:pPr>
      <w:r>
        <w:rPr>
          <w:color w:val="auto"/>
          <w:sz w:val="24"/>
        </w:rPr>
        <w:t>в)</w:t>
      </w:r>
      <w:r>
        <w:rPr>
          <w:b/>
          <w:bCs/>
          <w:color w:val="auto"/>
          <w:sz w:val="24"/>
        </w:rPr>
        <w:t> </w:t>
      </w:r>
      <w:r>
        <w:rPr>
          <w:color w:val="auto"/>
          <w:sz w:val="24"/>
        </w:rPr>
        <w:t>решение об отказе в присвоении объекту адресации адреса или аннулировании его адреса.</w:t>
      </w:r>
    </w:p>
    <w:p>
      <w:pPr>
        <w:pStyle w:val="Normal"/>
        <w:rPr/>
      </w:pPr>
      <w:r>
        <w:rPr>
          <w:b/>
          <w:bCs/>
          <w:color w:val="auto"/>
          <w:sz w:val="24"/>
        </w:rPr>
        <w:t>2.4. Срок предоставления муниципальной услуги</w:t>
      </w:r>
    </w:p>
    <w:p>
      <w:pPr>
        <w:pStyle w:val="Normal"/>
        <w:rPr/>
      </w:pPr>
      <w:r>
        <w:rPr>
          <w:color w:val="auto"/>
          <w:sz w:val="24"/>
        </w:rPr>
        <w:t xml:space="preserve">2.4.1. 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  Администрацией в срок не более </w:t>
      </w:r>
      <w:r>
        <w:rPr>
          <w:b/>
          <w:bCs/>
          <w:color w:val="auto"/>
          <w:sz w:val="24"/>
        </w:rPr>
        <w:t xml:space="preserve">5 </w:t>
      </w:r>
      <w:r>
        <w:rPr>
          <w:color w:val="auto"/>
          <w:sz w:val="24"/>
        </w:rPr>
        <w:t>рабочих дней со дня поступления заявления.</w:t>
      </w:r>
    </w:p>
    <w:p>
      <w:pPr>
        <w:pStyle w:val="Normal"/>
        <w:rPr/>
      </w:pPr>
      <w:r>
        <w:rPr>
          <w:color w:val="auto"/>
          <w:sz w:val="24"/>
        </w:rPr>
        <w:t>2.4.2. В случае представления заявления через МФЦ срок, указанный в пункте 2.4.1 настоящего Регламента, исчисляется со дня передачи МФЦ заявления и документов, указанных в главах 2.6, 2.7 настоящего Регламента (при их наличии), в Администрацию.</w:t>
      </w:r>
    </w:p>
    <w:p>
      <w:pPr>
        <w:pStyle w:val="Normal"/>
        <w:rPr/>
      </w:pPr>
      <w:r>
        <w:rPr>
          <w:b/>
          <w:bCs/>
          <w:color w:val="auto"/>
          <w:sz w:val="24"/>
        </w:rPr>
        <w:t>2.5. Перечень нормативно-правовых актов, регулирующих отношения, возникающие в связи с предоставлением муниципальной услуги</w:t>
      </w:r>
    </w:p>
    <w:p>
      <w:pPr>
        <w:pStyle w:val="Normal"/>
        <w:shd w:fill="FFFFFF" w:val="clear"/>
        <w:rPr>
          <w:color w:val="000000"/>
          <w:sz w:val="24"/>
        </w:rPr>
      </w:pPr>
      <w:r>
        <w:rPr>
          <w:color w:val="000000"/>
          <w:sz w:val="24"/>
        </w:rPr>
      </w:r>
    </w:p>
    <w:p>
      <w:pPr>
        <w:pStyle w:val="Normal"/>
        <w:rPr/>
      </w:pPr>
      <w:r>
        <w:rPr>
          <w:color w:val="000000"/>
          <w:sz w:val="24"/>
        </w:rPr>
        <w:t>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 размещен на официальном сайте Администрации в разделе https://www.uvatregion.ru/gov/administration/munitsipalnye-uslugi/, в электронном региональном реестре муниципальных услуг в соответствии с постановлением Правительства Тюменской области от 30.05.2011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Normal"/>
        <w:widowControl w:val="false"/>
        <w:shd w:fill="FFFFFF" w:val="clear"/>
        <w:rPr>
          <w:kern w:val="2"/>
          <w:lang w:eastAsia="ru-RU"/>
        </w:rPr>
      </w:pPr>
      <w:r>
        <w:rPr>
          <w:kern w:val="2"/>
          <w:lang w:eastAsia="ru-RU"/>
        </w:rPr>
      </w:r>
    </w:p>
    <w:p>
      <w:pPr>
        <w:pStyle w:val="Normal"/>
        <w:widowControl w:val="false"/>
        <w:shd w:fill="FFFFFF" w:val="clear"/>
        <w:rPr>
          <w:i/>
          <w:i/>
          <w:iCs/>
          <w:color w:val="auto"/>
          <w:sz w:val="24"/>
        </w:rPr>
      </w:pPr>
      <w:r>
        <w:rPr>
          <w:i/>
          <w:iCs/>
          <w:color w:val="auto"/>
          <w:sz w:val="24"/>
        </w:rPr>
      </w:r>
    </w:p>
    <w:p>
      <w:pPr>
        <w:pStyle w:val="Normal"/>
        <w:widowControl w:val="false"/>
        <w:shd w:fill="FFFFFF" w:val="clear"/>
        <w:rPr/>
      </w:pPr>
      <w:r>
        <w:rPr>
          <w:b/>
          <w:bCs/>
          <w:color w:val="auto"/>
          <w:sz w:val="24"/>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Normal"/>
        <w:widowControl w:val="false"/>
        <w:shd w:fill="FFFFFF" w:val="clear"/>
        <w:rPr/>
      </w:pPr>
      <w:r>
        <w:rPr>
          <w:color w:val="auto"/>
          <w:sz w:val="24"/>
        </w:rPr>
        <w:t xml:space="preserve">2.6.1.  Для предоставления муниципальной услуги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 (далее - документы) и направляемых непосредственно в Администрацию посредством почтового отправления с описью вложения и уведомлением о вручении, интернет-сайта «Портал услуг Тюменской области» (www.uslugi.admtyumen.ru) (далее - Региональный портал), </w:t>
      </w:r>
      <w:r>
        <w:rPr>
          <w:rStyle w:val="FootnoteCharacters"/>
          <w:color w:val="auto"/>
          <w:sz w:val="24"/>
        </w:rPr>
        <w:t xml:space="preserve">федеральной государственной информационной системы «Единый портал государственных и муниципальных услуг (функций)» (www.gosuslugi.ru) (далее - Единый портал), </w:t>
      </w:r>
      <w:r>
        <w:rPr>
          <w:color w:val="auto"/>
          <w:sz w:val="24"/>
        </w:rPr>
        <w:t>портала федеральной информационной адресной системы в информационно-телекоммуникационной сети «Интернет» (далее - портал адресной системы) либо предоставляемых посредством</w:t>
      </w:r>
      <w:r>
        <w:rPr>
          <w:b/>
          <w:bCs/>
          <w:color w:val="auto"/>
          <w:sz w:val="24"/>
        </w:rPr>
        <w:t xml:space="preserve"> </w:t>
      </w:r>
      <w:r>
        <w:rPr>
          <w:color w:val="auto"/>
          <w:sz w:val="24"/>
        </w:rPr>
        <w:t>личного обращения в МФЦ:</w:t>
      </w:r>
    </w:p>
    <w:p>
      <w:pPr>
        <w:pStyle w:val="Normal"/>
        <w:widowControl w:val="false"/>
        <w:shd w:fill="FFFFFF" w:val="clear"/>
        <w:rPr/>
      </w:pPr>
      <w:r>
        <w:rPr>
          <w:color w:val="auto"/>
          <w:sz w:val="24"/>
        </w:rPr>
        <w:t>а) заявление о присвоении объекту адресации адреса или аннулировании его адреса (далее - заявление), составленное: по форме, установленной приказом Министерства финансов Российской Федерации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t>
      </w:r>
      <w:r>
        <w:rPr>
          <w:rStyle w:val="FootnoteCharacters"/>
          <w:color w:val="auto"/>
          <w:sz w:val="24"/>
        </w:rPr>
        <w:t>- в случае его предоставления (направления) на бумажном носителе.</w:t>
      </w:r>
    </w:p>
    <w:p>
      <w:pPr>
        <w:pStyle w:val="Normal"/>
        <w:widowControl w:val="false"/>
        <w:shd w:fill="FFFFFF" w:val="clear"/>
        <w:rPr/>
      </w:pPr>
      <w:r>
        <w:rPr>
          <w:color w:val="auto"/>
          <w:sz w:val="24"/>
        </w:rPr>
        <w:t xml:space="preserve">В случае направления заявления и прилагаемых к нему документов в электронной форме с использованием Единого портала или Регионального портала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форму указанного </w:t>
      </w:r>
      <w:r>
        <w:rPr>
          <w:color w:val="auto"/>
          <w:sz w:val="24"/>
          <w:lang w:eastAsia="en-US"/>
        </w:rPr>
        <w:t xml:space="preserve">заявления  </w:t>
      </w:r>
      <w:r>
        <w:rPr>
          <w:color w:val="auto"/>
          <w:sz w:val="24"/>
        </w:rPr>
        <w:t>с использованием интерактивной формы в электронном виде.</w:t>
      </w:r>
    </w:p>
    <w:p>
      <w:pPr>
        <w:pStyle w:val="Normal"/>
        <w:widowControl w:val="false"/>
        <w:shd w:fill="FFFFFF" w:val="clear"/>
        <w:rPr/>
      </w:pPr>
      <w:r>
        <w:rPr>
          <w:color w:val="auto"/>
          <w:sz w:val="24"/>
          <w:lang w:eastAsia="ru-RU"/>
        </w:rPr>
        <w:t>При подаче заявления в электронной форме заявление и документы подписываются электронной подписью в соответствии с требованиями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pPr>
        <w:pStyle w:val="Normal"/>
        <w:widowControl w:val="false"/>
        <w:shd w:fill="FFFFFF" w:val="clear"/>
        <w:rPr/>
      </w:pPr>
      <w:r>
        <w:rPr>
          <w:color w:val="auto"/>
          <w:sz w:val="24"/>
        </w:rPr>
        <w:t xml:space="preserve">б) документ, удостоверяющий полномочия представителя заявителя, в случае подачи заявления представителем заявителя: </w:t>
      </w:r>
    </w:p>
    <w:p>
      <w:pPr>
        <w:pStyle w:val="Normal"/>
        <w:widowControl w:val="false"/>
        <w:shd w:fill="FFFFFF" w:val="clear"/>
        <w:rPr/>
      </w:pPr>
      <w:r>
        <w:rPr>
          <w:color w:val="auto"/>
          <w:sz w:val="24"/>
        </w:rPr>
        <w:t xml:space="preserve">доверенность (при предоставлении заявления представителем заявителя в форме электронного документа прилагается доверенность, оформленная надлежащим образом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w:t>
      </w:r>
    </w:p>
    <w:p>
      <w:pPr>
        <w:pStyle w:val="Normal"/>
        <w:widowControl w:val="false"/>
        <w:shd w:fill="FFFFFF" w:val="clear"/>
        <w:rPr>
          <w:color w:val="auto"/>
          <w:sz w:val="24"/>
        </w:rPr>
      </w:pPr>
      <w:r>
        <w:rPr>
          <w:color w:val="auto"/>
          <w:sz w:val="24"/>
        </w:rPr>
        <w:t>решение общего собрания собственников многоквартирного дома;</w:t>
      </w:r>
    </w:p>
    <w:p>
      <w:pPr>
        <w:pStyle w:val="Normal"/>
        <w:widowControl w:val="false"/>
        <w:shd w:fill="FFFFFF" w:val="clear"/>
        <w:rPr>
          <w:color w:val="auto"/>
          <w:sz w:val="24"/>
        </w:rPr>
      </w:pPr>
      <w:r>
        <w:rPr>
          <w:color w:val="auto"/>
          <w:sz w:val="24"/>
        </w:rPr>
        <w:t>решение общего собрания членов садоводческого или огороднического некоммерческого товарищества;</w:t>
      </w:r>
    </w:p>
    <w:p>
      <w:pPr>
        <w:pStyle w:val="Normal"/>
        <w:widowControl w:val="false"/>
        <w:shd w:fill="FFFFFF" w:val="clear"/>
        <w:rPr>
          <w:color w:val="auto"/>
          <w:sz w:val="24"/>
        </w:rPr>
      </w:pPr>
      <w:r>
        <w:rPr>
          <w:color w:val="auto"/>
          <w:sz w:val="24"/>
        </w:rPr>
        <w:t>иной документ, подтверждающий в соответствии с федеральным законом, актом уполномоченного на то государственного органа или органа местного самоуправления полномочия представителя заявителя;</w:t>
      </w:r>
    </w:p>
    <w:p>
      <w:pPr>
        <w:pStyle w:val="Normal"/>
        <w:widowControl w:val="false"/>
        <w:shd w:fill="FFFFFF" w:val="clear"/>
        <w:rPr>
          <w:color w:val="auto"/>
          <w:sz w:val="24"/>
        </w:rPr>
      </w:pPr>
      <w:r>
        <w:rPr>
          <w:color w:val="auto"/>
          <w:sz w:val="24"/>
        </w:rPr>
        <w:t>договора подряда на выполнение кадастровых работ;</w:t>
      </w:r>
    </w:p>
    <w:p>
      <w:pPr>
        <w:pStyle w:val="Normal"/>
        <w:widowControl w:val="false"/>
        <w:shd w:fill="FFFFFF" w:val="clear"/>
        <w:rPr>
          <w:color w:val="auto"/>
          <w:sz w:val="24"/>
        </w:rPr>
      </w:pPr>
      <w:r>
        <w:rPr>
          <w:color w:val="auto"/>
          <w:sz w:val="24"/>
        </w:rPr>
        <w:t>определение суда о выполнении кадастровых работ кадастровым инженером;</w:t>
      </w:r>
    </w:p>
    <w:p>
      <w:pPr>
        <w:pStyle w:val="Normal"/>
        <w:widowControl w:val="false"/>
        <w:shd w:fill="FFFFFF" w:val="clear"/>
        <w:rPr>
          <w:color w:val="auto"/>
          <w:sz w:val="24"/>
        </w:rPr>
      </w:pPr>
      <w:r>
        <w:rPr>
          <w:i/>
          <w:iCs/>
          <w:color w:val="auto"/>
          <w:sz w:val="24"/>
        </w:rPr>
        <w:t>в случае подачи заявления представителем юридического лица:</w:t>
      </w:r>
    </w:p>
    <w:p>
      <w:pPr>
        <w:pStyle w:val="Normal"/>
        <w:widowControl w:val="false"/>
        <w:shd w:fill="FFFFFF" w:val="clear"/>
        <w:rPr/>
      </w:pPr>
      <w:r>
        <w:rPr>
          <w:color w:val="auto"/>
          <w:sz w:val="24"/>
        </w:rPr>
        <w:t>документ, подтверждающий его полномочия действовать от имени этого юридического лица, или копия этого документа, заверенная печатью (при наличии) и подписью руководителя этого юридического лица (при подаче документов на бумажном носителе);</w:t>
      </w:r>
    </w:p>
    <w:p>
      <w:pPr>
        <w:pStyle w:val="Normal"/>
        <w:widowControl w:val="false"/>
        <w:shd w:fill="FFFFFF" w:val="clear"/>
        <w:rPr/>
      </w:pPr>
      <w:r>
        <w:rPr>
          <w:color w:val="auto"/>
          <w:sz w:val="24"/>
        </w:rPr>
        <w:t>трудовой договор кадастрового инженера, являющегося работником юридического лица (если представителем юридического лица является кадастровый инженер который осуществляет кадастровы</w:t>
      </w:r>
      <w:r>
        <w:rPr>
          <w:color w:val="auto"/>
          <w:sz w:val="24"/>
          <w:lang w:eastAsia="en-US"/>
        </w:rPr>
        <w:t>е</w:t>
      </w:r>
      <w:r>
        <w:rPr>
          <w:color w:val="auto"/>
          <w:sz w:val="24"/>
        </w:rPr>
        <w:t xml:space="preserve"> работы для данного  работодателя).</w:t>
      </w:r>
    </w:p>
    <w:p>
      <w:pPr>
        <w:pStyle w:val="Normal"/>
        <w:widowControl w:val="false"/>
        <w:shd w:fill="FFFFFF" w:val="clear"/>
        <w:rPr/>
      </w:pPr>
      <w:r>
        <w:rPr>
          <w:color w:val="auto"/>
          <w:sz w:val="24"/>
          <w:lang w:eastAsia="ru-RU"/>
        </w:rPr>
        <w:t>2.6.2. При личном обращении в МФЦ заявители или представители заявителей обязаны предъявить документ, удостоверяющий соответственно личность заявителя или представителя заявителя, оригинал которого подлежит возврату после удостоверения его личности. Лицо, имеющее право действовать без доверенности от имени юридического лица, при личном обращении в МФЦ предъявляет документ, удостоверяющий его личность, и сообщает реквизиты свидетельства о государственной регистрации юридического лица.</w:t>
      </w:r>
    </w:p>
    <w:p>
      <w:pPr>
        <w:pStyle w:val="Normal"/>
        <w:widowControl w:val="false"/>
        <w:shd w:fill="FFFFFF" w:val="clear"/>
        <w:rPr/>
      </w:pPr>
      <w:r>
        <w:rPr>
          <w:rFonts w:eastAsia="Arial"/>
          <w:color w:val="auto"/>
          <w:sz w:val="24"/>
          <w:lang w:eastAsia="ru-RU"/>
        </w:rPr>
        <w:t xml:space="preserve">Предоставление документа, подтверждающего личность заявителя,  представителя заявителя (если заявление подается представителем заявителя), не является обязательным в случае установления личности заявителя, представителя заявителя посредством идентификации и аутентификации с использованием информационных технологий </w:t>
      </w:r>
      <w:r>
        <w:rPr>
          <w:rFonts w:eastAsia="Arial"/>
          <w:color w:val="000000"/>
          <w:sz w:val="24"/>
        </w:rPr>
        <w:t>в порядке, установленном действующим законодательством.</w:t>
      </w:r>
    </w:p>
    <w:p>
      <w:pPr>
        <w:pStyle w:val="Normal"/>
        <w:widowControl w:val="false"/>
        <w:shd w:fill="FFFFFF" w:val="clear"/>
        <w:rPr/>
      </w:pPr>
      <w:r>
        <w:rPr>
          <w:rFonts w:eastAsia="Arial"/>
          <w:color w:val="auto"/>
          <w:sz w:val="24"/>
          <w:lang w:eastAsia="ru-RU"/>
        </w:rPr>
        <w:t>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случаях,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Normal"/>
        <w:widowControl w:val="false"/>
        <w:shd w:fill="FFFFFF" w:val="clear"/>
        <w:rPr/>
      </w:pPr>
      <w:r>
        <w:rPr>
          <w:color w:val="auto"/>
          <w:sz w:val="24"/>
          <w:lang w:eastAsia="ru-RU"/>
        </w:rPr>
        <w:t>В случае нап</w:t>
      </w:r>
      <w:r>
        <w:rPr>
          <w:rFonts w:cs="Calibri"/>
          <w:color w:val="auto"/>
          <w:sz w:val="24"/>
          <w:lang w:eastAsia="ru-RU"/>
        </w:rPr>
        <w:t>равления</w:t>
      </w:r>
      <w:r>
        <w:rPr>
          <w:color w:val="auto"/>
          <w:sz w:val="24"/>
          <w:lang w:eastAsia="ru-RU"/>
        </w:rPr>
        <w:t xml:space="preserve"> заявления посредством </w:t>
      </w:r>
      <w:r>
        <w:rPr>
          <w:rStyle w:val="FootnoteCharacters"/>
          <w:color w:val="auto"/>
          <w:sz w:val="24"/>
          <w:lang w:eastAsia="en-US"/>
        </w:rPr>
        <w:t>Единого портала, Регионального портала, с</w:t>
      </w:r>
      <w:r>
        <w:rPr>
          <w:color w:val="auto"/>
          <w:sz w:val="24"/>
          <w:lang w:eastAsia="ru-RU"/>
        </w:rPr>
        <w:t>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pPr>
        <w:pStyle w:val="Normal"/>
        <w:widowControl w:val="false"/>
        <w:shd w:fill="FFFFFF" w:val="clear"/>
        <w:rPr/>
      </w:pPr>
      <w:r>
        <w:rPr>
          <w:color w:val="auto"/>
          <w:sz w:val="24"/>
          <w:lang w:eastAsia="ru-RU"/>
        </w:rPr>
        <w:t xml:space="preserve">2.6.3. Заявитель при подаче заявления вправе приложить к нему документы, указанные в подпункте «а» пункта 2.7.1.1, </w:t>
      </w:r>
      <w:r>
        <w:rPr>
          <w:rFonts w:eastAsia="Arial"/>
          <w:color w:val="000000"/>
          <w:szCs w:val="26"/>
          <w:lang w:eastAsia="en-US"/>
        </w:rPr>
        <w:t>пунктах</w:t>
      </w:r>
      <w:r>
        <w:rPr>
          <w:color w:val="auto"/>
          <w:sz w:val="24"/>
          <w:lang w:eastAsia="ru-RU"/>
        </w:rPr>
        <w:t xml:space="preserve"> 2.7.1.2, 2.7.1.4, 2.7.1.5, 2.7.1.6, подпунктах «а» - «д» пункта 2.7.1.7  Регламента, по собственной инициативе,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pPr>
        <w:pStyle w:val="Normal"/>
        <w:rPr>
          <w:color w:val="auto"/>
        </w:rPr>
      </w:pPr>
      <w:r>
        <w:rPr>
          <w:color w:val="auto"/>
          <w:sz w:val="24"/>
        </w:rPr>
        <w:t>2.</w:t>
      </w:r>
      <w:r>
        <w:rPr>
          <w:rFonts w:cs="Calibri"/>
          <w:color w:val="auto"/>
          <w:sz w:val="24"/>
          <w:lang w:eastAsia="en-US"/>
        </w:rPr>
        <w:t>6.4</w:t>
      </w:r>
      <w:r>
        <w:rPr>
          <w:color w:val="auto"/>
          <w:sz w:val="24"/>
        </w:rPr>
        <w:t>. Электронные документы представляются в следующих форматах:</w:t>
      </w:r>
    </w:p>
    <w:p>
      <w:pPr>
        <w:pStyle w:val="Normal"/>
        <w:rPr>
          <w:color w:val="auto"/>
          <w:sz w:val="24"/>
        </w:rPr>
      </w:pPr>
      <w:r>
        <w:rPr>
          <w:color w:val="auto"/>
          <w:sz w:val="24"/>
        </w:rPr>
        <w:t>а) xml - для формализованных документов;</w:t>
      </w:r>
    </w:p>
    <w:p>
      <w:pPr>
        <w:pStyle w:val="Normal"/>
        <w:rPr>
          <w:color w:val="auto"/>
          <w:sz w:val="24"/>
        </w:rPr>
      </w:pPr>
      <w:r>
        <w:rPr>
          <w:color w:val="auto"/>
          <w:sz w:val="24"/>
        </w:rPr>
        <w:t>б) doc, docx, odt - для документов с текстовым содержанием, не включающим формулы (за исключением документов, указанных в подпункте «в» настоящего пункта;</w:t>
      </w:r>
    </w:p>
    <w:p>
      <w:pPr>
        <w:pStyle w:val="Normal"/>
        <w:rPr>
          <w:color w:val="auto"/>
          <w:sz w:val="24"/>
        </w:rPr>
      </w:pPr>
      <w:r>
        <w:rPr>
          <w:color w:val="auto"/>
          <w:sz w:val="24"/>
        </w:rPr>
        <w:t xml:space="preserve">в) </w:t>
      </w:r>
      <w:r>
        <w:rPr>
          <w:color w:val="auto"/>
          <w:sz w:val="24"/>
          <w:lang w:val="en-US"/>
        </w:rPr>
        <w:t>xls</w:t>
      </w:r>
      <w:r>
        <w:rPr>
          <w:color w:val="auto"/>
          <w:sz w:val="24"/>
        </w:rPr>
        <w:t xml:space="preserve">, </w:t>
      </w:r>
      <w:r>
        <w:rPr>
          <w:color w:val="auto"/>
          <w:sz w:val="24"/>
          <w:lang w:val="en-US"/>
        </w:rPr>
        <w:t>xlsx</w:t>
      </w:r>
      <w:r>
        <w:rPr>
          <w:color w:val="auto"/>
          <w:sz w:val="24"/>
        </w:rPr>
        <w:t xml:space="preserve">, </w:t>
      </w:r>
      <w:r>
        <w:rPr>
          <w:color w:val="auto"/>
          <w:sz w:val="24"/>
          <w:lang w:val="en-US"/>
        </w:rPr>
        <w:t>ods</w:t>
      </w:r>
      <w:r>
        <w:rPr>
          <w:color w:val="auto"/>
          <w:sz w:val="24"/>
        </w:rPr>
        <w:t xml:space="preserve"> - для документов, содержащих расчеты; </w:t>
      </w:r>
    </w:p>
    <w:p>
      <w:pPr>
        <w:pStyle w:val="Normal"/>
        <w:rPr/>
      </w:pPr>
      <w:r>
        <w:rPr>
          <w:rFonts w:eastAsia="Arial"/>
          <w:color w:val="auto"/>
          <w:sz w:val="24"/>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pPr>
        <w:pStyle w:val="Normal"/>
        <w:rPr/>
      </w:pPr>
      <w:r>
        <w:rPr>
          <w:rFonts w:eastAsia="Arial"/>
          <w:color w:val="auto"/>
          <w:sz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rFonts w:eastAsia="Arial"/>
          <w:color w:val="auto"/>
          <w:sz w:val="24"/>
          <w:lang w:val="en-US"/>
        </w:rPr>
        <w:t>dpi</w:t>
      </w:r>
      <w:r>
        <w:rPr>
          <w:rFonts w:eastAsia="Arial"/>
          <w:color w:val="auto"/>
          <w:sz w:val="24"/>
        </w:rPr>
        <w:t xml:space="preserve"> ( масштаб 1:1) с использованием следующих режимов:</w:t>
      </w:r>
    </w:p>
    <w:p>
      <w:pPr>
        <w:pStyle w:val="Normal"/>
        <w:rPr/>
      </w:pPr>
      <w:r>
        <w:rPr>
          <w:rFonts w:eastAsia="Arial"/>
          <w:color w:val="auto"/>
          <w:sz w:val="24"/>
        </w:rPr>
        <w:t>а) «черно-белый» (при отсутствии в документе графических изображений и (или) цветного текста);</w:t>
      </w:r>
    </w:p>
    <w:p>
      <w:pPr>
        <w:pStyle w:val="Normal"/>
        <w:rPr/>
      </w:pPr>
      <w:r>
        <w:rPr>
          <w:rFonts w:eastAsia="Arial"/>
          <w:color w:val="auto"/>
          <w:sz w:val="24"/>
        </w:rPr>
        <w:t>б) «оттенки серого» (при наличии в документе графических изображений отличных от цветного графического изображения);</w:t>
      </w:r>
    </w:p>
    <w:p>
      <w:pPr>
        <w:pStyle w:val="Normal"/>
        <w:rPr/>
      </w:pPr>
      <w:r>
        <w:rPr>
          <w:rFonts w:eastAsia="Arial"/>
          <w:color w:val="auto"/>
          <w:sz w:val="24"/>
        </w:rPr>
        <w:t>в) «цветной» или «режим полной цветопередачи» (при наличии в документе цветных графических изображений либо цветного текста);</w:t>
      </w:r>
    </w:p>
    <w:p>
      <w:pPr>
        <w:pStyle w:val="Normal"/>
        <w:rPr/>
      </w:pPr>
      <w:r>
        <w:rPr>
          <w:rFonts w:eastAsia="Arial"/>
          <w:color w:val="auto"/>
          <w:sz w:val="24"/>
        </w:rPr>
        <w:t>г) с сохранением всех аутентичных признаков подлинности, а именно: графической подписи лица, печати, углового штампа бланка.</w:t>
      </w:r>
    </w:p>
    <w:p>
      <w:pPr>
        <w:pStyle w:val="Normal"/>
        <w:rPr/>
      </w:pPr>
      <w:r>
        <w:rPr>
          <w:rFonts w:eastAsia="Arial"/>
          <w:color w:val="auto"/>
          <w:sz w:val="24"/>
        </w:rPr>
        <w:t>Количество файлов должно соответствовать количеству документов, каждый из которых содержит текстовую и (или) графическую информацию.</w:t>
      </w:r>
    </w:p>
    <w:p>
      <w:pPr>
        <w:pStyle w:val="Normal"/>
        <w:rPr/>
      </w:pPr>
      <w:r>
        <w:rPr>
          <w:rFonts w:eastAsia="Arial"/>
          <w:color w:val="auto"/>
          <w:sz w:val="24"/>
        </w:rPr>
        <w:t>Электронные документы должны обеспечивать:</w:t>
      </w:r>
    </w:p>
    <w:p>
      <w:pPr>
        <w:pStyle w:val="Normal"/>
        <w:rPr/>
      </w:pPr>
      <w:r>
        <w:rPr>
          <w:rFonts w:eastAsia="Arial"/>
          <w:color w:val="auto"/>
          <w:sz w:val="24"/>
        </w:rPr>
        <w:t>а) возможность идентифицировать документ и количество листов в документе;</w:t>
      </w:r>
    </w:p>
    <w:p>
      <w:pPr>
        <w:pStyle w:val="Normal"/>
        <w:rPr/>
      </w:pPr>
      <w:r>
        <w:rPr>
          <w:rFonts w:eastAsia="Arial"/>
          <w:color w:val="auto"/>
          <w:sz w:val="24"/>
        </w:rPr>
        <w:t>б)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Normal"/>
        <w:rPr/>
      </w:pPr>
      <w:r>
        <w:rPr>
          <w:rFonts w:eastAsia="Arial"/>
          <w:color w:val="auto"/>
          <w:sz w:val="24"/>
        </w:rPr>
        <w:t xml:space="preserve">Документы, подлежащие представлению в форматах </w:t>
      </w:r>
      <w:r>
        <w:rPr>
          <w:rFonts w:eastAsia="Arial"/>
          <w:color w:val="auto"/>
          <w:sz w:val="24"/>
          <w:lang w:val="en-US"/>
        </w:rPr>
        <w:t>xls</w:t>
      </w:r>
      <w:r>
        <w:rPr>
          <w:rFonts w:eastAsia="Arial"/>
          <w:color w:val="auto"/>
          <w:sz w:val="24"/>
        </w:rPr>
        <w:t xml:space="preserve">, </w:t>
      </w:r>
      <w:r>
        <w:rPr>
          <w:rFonts w:eastAsia="Arial"/>
          <w:color w:val="auto"/>
          <w:sz w:val="24"/>
          <w:lang w:val="en-US"/>
        </w:rPr>
        <w:t>xlsx</w:t>
      </w:r>
      <w:r>
        <w:rPr>
          <w:rFonts w:eastAsia="Arial"/>
          <w:color w:val="auto"/>
          <w:sz w:val="24"/>
        </w:rPr>
        <w:t xml:space="preserve">, </w:t>
      </w:r>
      <w:r>
        <w:rPr>
          <w:rFonts w:eastAsia="Arial"/>
          <w:color w:val="auto"/>
          <w:sz w:val="24"/>
          <w:lang w:val="en-US"/>
        </w:rPr>
        <w:t>ods</w:t>
      </w:r>
      <w:r>
        <w:rPr>
          <w:rFonts w:eastAsia="Arial"/>
          <w:color w:val="auto"/>
          <w:sz w:val="24"/>
        </w:rPr>
        <w:t>, формируются в виде отдельного электронного документа.</w:t>
      </w:r>
    </w:p>
    <w:p>
      <w:pPr>
        <w:pStyle w:val="Normal"/>
        <w:rPr/>
      </w:pPr>
      <w:r>
        <w:rPr>
          <w:rFonts w:eastAsia="Arial"/>
          <w:color w:val="auto"/>
          <w:sz w:val="24"/>
          <w:lang w:eastAsia="ru-RU"/>
        </w:rPr>
        <w:t xml:space="preserve">2.6.5.  Предоставление услуги по экстерриториальному принципу осуществляется в части обеспечения возможности подачи заявления и получения результата предоставления услуги посредством </w:t>
      </w:r>
      <w:r>
        <w:rPr>
          <w:rStyle w:val="FootnoteCharacters"/>
          <w:rFonts w:eastAsia="Arial"/>
          <w:color w:val="auto"/>
          <w:sz w:val="24"/>
          <w:lang w:eastAsia="en-US"/>
        </w:rPr>
        <w:t>Единого портала</w:t>
      </w:r>
      <w:r>
        <w:rPr>
          <w:rFonts w:eastAsia="Arial"/>
          <w:color w:val="auto"/>
          <w:sz w:val="24"/>
          <w:lang w:eastAsia="ru-RU"/>
        </w:rPr>
        <w:t>, Регионального портала и портала адресной системы.</w:t>
      </w:r>
    </w:p>
    <w:p>
      <w:pPr>
        <w:pStyle w:val="Normal"/>
        <w:rPr/>
      </w:pPr>
      <w:r>
        <w:rPr>
          <w:b/>
          <w:bCs/>
          <w:color w:val="auto"/>
          <w:sz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pPr>
        <w:pStyle w:val="Normal"/>
        <w:rPr/>
      </w:pPr>
      <w:r>
        <w:rPr>
          <w:color w:val="auto"/>
          <w:sz w:val="24"/>
          <w:lang w:eastAsia="ru-RU"/>
        </w:rPr>
        <w:t>2.7.1. </w:t>
      </w:r>
      <w:r>
        <w:rPr>
          <w:color w:val="auto"/>
          <w:kern w:val="2"/>
          <w:sz w:val="24"/>
          <w:lang w:eastAsia="ru-RU"/>
        </w:rPr>
        <w:t xml:space="preserve">Документы, сведения (информация), которые могут быть представлены  заявителем (представителем заявителя) по желанию или </w:t>
      </w:r>
      <w:r>
        <w:rPr>
          <w:color w:val="auto"/>
          <w:sz w:val="24"/>
          <w:lang w:eastAsia="ru-RU"/>
        </w:rPr>
        <w:t>запрашиваются в порядке межведомственного информационного взаимодействия (</w:t>
      </w:r>
      <w:r>
        <w:rPr>
          <w:color w:val="auto"/>
          <w:kern w:val="2"/>
          <w:sz w:val="24"/>
          <w:lang w:eastAsia="ru-RU"/>
        </w:rPr>
        <w:t>в случае их непредставления заявителем (представителем заявителя)) путем направления Управлением следующих запросов:</w:t>
      </w:r>
    </w:p>
    <w:p>
      <w:pPr>
        <w:pStyle w:val="Normal"/>
        <w:widowControl w:val="false"/>
        <w:shd w:fill="FFFFFF" w:val="clear"/>
        <w:rPr>
          <w:color w:val="auto"/>
          <w:sz w:val="24"/>
        </w:rPr>
      </w:pPr>
      <w:r>
        <w:rPr>
          <w:color w:val="auto"/>
          <w:sz w:val="24"/>
        </w:rPr>
        <w:t>2.7.1.1. в Федеральную службу государственной регистрации, кадастра и картографии о предоставлении:</w:t>
      </w:r>
    </w:p>
    <w:p>
      <w:pPr>
        <w:pStyle w:val="Normal"/>
        <w:widowControl w:val="false"/>
        <w:shd w:fill="FFFFFF" w:val="clear"/>
        <w:rPr>
          <w:color w:val="auto"/>
          <w:sz w:val="24"/>
        </w:rPr>
      </w:pPr>
      <w:r>
        <w:rPr>
          <w:color w:val="auto"/>
          <w:sz w:val="24"/>
        </w:rPr>
        <w:t>а) правоустанавливающих и (или) правоудостоверяющих документов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pPr>
        <w:pStyle w:val="Normal"/>
        <w:widowControl w:val="false"/>
        <w:shd w:fill="FFFFFF" w:val="clear"/>
        <w:rPr>
          <w:color w:val="auto"/>
          <w:sz w:val="24"/>
        </w:rPr>
      </w:pPr>
      <w:r>
        <w:rPr>
          <w:color w:val="auto"/>
          <w:sz w:val="24"/>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pPr>
        <w:pStyle w:val="Normal"/>
        <w:widowControl w:val="false"/>
        <w:shd w:fill="FFFFFF" w:val="clear"/>
        <w:rPr>
          <w:color w:val="auto"/>
          <w:sz w:val="24"/>
        </w:rPr>
      </w:pPr>
      <w:r>
        <w:rPr>
          <w:color w:val="auto"/>
          <w:sz w:val="24"/>
        </w:rPr>
        <w:t>в) выписки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pPr>
        <w:pStyle w:val="Normal"/>
        <w:widowControl w:val="false"/>
        <w:shd w:fill="FFFFFF" w:val="clear"/>
        <w:rPr/>
      </w:pPr>
      <w:r>
        <w:rPr>
          <w:color w:val="auto"/>
          <w:sz w:val="24"/>
        </w:rPr>
        <w:t>г) выписки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Российской Федерации от 19.11.2014 № 1221 (далее - Правила присвоения адресов);</w:t>
      </w:r>
    </w:p>
    <w:p>
      <w:pPr>
        <w:pStyle w:val="Normal"/>
        <w:widowControl w:val="false"/>
        <w:shd w:fill="FFFFFF" w:val="clear"/>
        <w:rPr/>
      </w:pPr>
      <w:r>
        <w:rPr>
          <w:color w:val="auto"/>
          <w:sz w:val="24"/>
        </w:rPr>
        <w:t>д) уведомления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присвоения адресов).</w:t>
      </w:r>
    </w:p>
    <w:p>
      <w:pPr>
        <w:pStyle w:val="Normal"/>
        <w:widowControl w:val="false"/>
        <w:shd w:fill="FFFFFF" w:val="clear"/>
        <w:rPr/>
      </w:pPr>
      <w:r>
        <w:rPr>
          <w:color w:val="auto"/>
          <w:sz w:val="24"/>
        </w:rPr>
        <w:t>2.7.1.2. в Федеральное агентство по управлению федеральным имуществом о предоставлении правоустанавливающих и (или) правоудостоверяющих документов (сведений из них) на объект (объекты) адресации (в случае, если права на объект адресации не зарегистрированы в Едином государственном реестре недвижимости и объект адресации находится в федеральной собственности);</w:t>
      </w:r>
    </w:p>
    <w:p>
      <w:pPr>
        <w:pStyle w:val="Normal"/>
        <w:widowControl w:val="false"/>
        <w:shd w:fill="FFFFFF" w:val="clear"/>
        <w:rPr/>
      </w:pPr>
      <w:r>
        <w:rPr>
          <w:color w:val="auto"/>
          <w:sz w:val="24"/>
        </w:rPr>
        <w:t>2.7.1.3. в Федеральную налоговую службу России о предоставлении сведений:</w:t>
      </w:r>
    </w:p>
    <w:p>
      <w:pPr>
        <w:pStyle w:val="Normal"/>
        <w:widowControl w:val="false"/>
        <w:shd w:fill="FFFFFF" w:val="clear"/>
        <w:rPr/>
      </w:pPr>
      <w:r>
        <w:rPr>
          <w:color w:val="auto"/>
          <w:sz w:val="24"/>
        </w:rPr>
        <w:t>а) из Единого государственного реестра юридических лиц (для заявителей - юридических лиц)</w:t>
      </w:r>
      <w:r>
        <w:rPr>
          <w:color w:val="auto"/>
          <w:sz w:val="24"/>
          <w:lang w:eastAsia="ru-RU"/>
        </w:rPr>
        <w:t>;</w:t>
      </w:r>
    </w:p>
    <w:p>
      <w:pPr>
        <w:pStyle w:val="Normal"/>
        <w:widowControl w:val="false"/>
        <w:shd w:fill="FFFFFF" w:val="clear"/>
        <w:rPr/>
      </w:pPr>
      <w:r>
        <w:rPr>
          <w:rFonts w:eastAsia="Arial"/>
          <w:color w:val="auto"/>
          <w:sz w:val="24"/>
          <w:lang w:eastAsia="ru-RU"/>
        </w:rPr>
        <w:t>б) о государственной регистрации актов о рождении (в случае подачи заявления представителем заявителя, действующим на основании свидетельства о рождении ребенка, выданного органами записи актов гражданского состояния Российской Федерации);</w:t>
      </w:r>
    </w:p>
    <w:p>
      <w:pPr>
        <w:pStyle w:val="Normal"/>
        <w:widowControl w:val="false"/>
        <w:shd w:fill="FFFFFF" w:val="clear"/>
        <w:rPr/>
      </w:pPr>
      <w:r>
        <w:rPr>
          <w:color w:val="auto"/>
          <w:sz w:val="24"/>
        </w:rPr>
        <w:t>2.7.1.4. в организацию, осуществляющую хранение и использование технических паспортов, оценочной и иной учетно-технической документации, о предоставлении сведений о ранее зарегистрированных правах на недвижимое имущество (в случае, если права на объект адресации, не являющийся земельным участком, зарегистрированы до 28.01.1999);</w:t>
      </w:r>
    </w:p>
    <w:p>
      <w:pPr>
        <w:pStyle w:val="Normal"/>
        <w:widowControl w:val="false"/>
        <w:shd w:fill="FFFFFF" w:val="clear"/>
        <w:rPr/>
      </w:pPr>
      <w:r>
        <w:rPr>
          <w:color w:val="auto"/>
          <w:sz w:val="24"/>
        </w:rPr>
        <w:t>2.7.1.5. в Департамент имущественных отношений Тюменской области о предоставлении правоустанавливающих и (или) правоудостоверяющих документов (сведений из них) на объект (объекты) адресации (в случае, если права на объект адресации не зарегистрированы в Едином государственном реестре недвижимости и объект адресации находится в государственной собственности Тюменской области);</w:t>
      </w:r>
    </w:p>
    <w:p>
      <w:pPr>
        <w:pStyle w:val="Normal"/>
        <w:widowControl w:val="false"/>
        <w:shd w:fill="FFFFFF" w:val="clear"/>
        <w:rPr/>
      </w:pPr>
      <w:r>
        <w:rPr>
          <w:color w:val="auto"/>
          <w:sz w:val="24"/>
        </w:rPr>
        <w:t>2.7.1.6. в орган государственной власти, уполномоченный на выдачу разрешений на строительство</w:t>
      </w:r>
      <w:r>
        <w:rPr>
          <w:color w:val="auto"/>
          <w:sz w:val="24"/>
          <w:lang w:eastAsia="ru-RU"/>
        </w:rPr>
        <w:t xml:space="preserve">, ввод объектов в эксплуатацию, о предоставлении разрешения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w:t>
      </w:r>
      <w:r>
        <w:rPr>
          <w:color w:val="auto"/>
          <w:sz w:val="24"/>
        </w:rPr>
        <w:t xml:space="preserve">и (или) при наличии разрешений на ввод в эксплуатацию (в части сведений из разрешения на строительство объекта адресации) и (или) разрешения на ввод объекта адресации в эксплуатацию; </w:t>
      </w:r>
    </w:p>
    <w:p>
      <w:pPr>
        <w:pStyle w:val="Normal"/>
        <w:rPr>
          <w:color w:val="auto"/>
          <w:sz w:val="24"/>
        </w:rPr>
      </w:pPr>
      <w:r>
        <w:rPr>
          <w:color w:val="auto"/>
          <w:sz w:val="24"/>
          <w:lang w:eastAsia="ru-RU"/>
        </w:rPr>
        <w:t>2.7.1.7. в уполномоченный орган местного самоуправления в части сведений:</w:t>
      </w:r>
    </w:p>
    <w:p>
      <w:pPr>
        <w:pStyle w:val="Normal"/>
        <w:shd w:fill="FFFFFF" w:val="clear"/>
        <w:tabs>
          <w:tab w:val="clear" w:pos="720"/>
          <w:tab w:val="left" w:pos="6348" w:leader="none"/>
        </w:tabs>
        <w:rPr>
          <w:color w:val="auto"/>
          <w:sz w:val="24"/>
        </w:rPr>
      </w:pPr>
      <w:r>
        <w:rPr>
          <w:color w:val="auto"/>
          <w:sz w:val="24"/>
          <w:lang w:eastAsia="ru-RU"/>
        </w:rPr>
        <w:t xml:space="preserve">а) из разрешения на строительство объекта адресации  (при присвоении адреса строящимся объектам адресации) </w:t>
      </w:r>
      <w:r>
        <w:rPr>
          <w:color w:val="auto"/>
          <w:sz w:val="24"/>
        </w:rPr>
        <w:t xml:space="preserve">(за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w:t>
      </w:r>
      <w:r>
        <w:rPr>
          <w:color w:val="auto"/>
          <w:sz w:val="24"/>
          <w:lang w:eastAsia="ru-RU"/>
        </w:rPr>
        <w:t xml:space="preserve"> и (или) разрешения на ввод объекта адресации в эксплуатацию; </w:t>
      </w:r>
    </w:p>
    <w:p>
      <w:pPr>
        <w:pStyle w:val="Normal"/>
        <w:rPr>
          <w:color w:val="auto"/>
          <w:sz w:val="24"/>
        </w:rPr>
      </w:pPr>
      <w:r>
        <w:rPr>
          <w:color w:val="auto"/>
          <w:sz w:val="24"/>
          <w:lang w:eastAsia="ru-RU"/>
        </w:rPr>
        <w:t xml:space="preserve">б) из схемы расположения объекта адресации на кадастровом плане или кадастровой карте соответствующей территории (в случае присвоения земельному участку адреса); </w:t>
      </w:r>
    </w:p>
    <w:p>
      <w:pPr>
        <w:pStyle w:val="Normal"/>
        <w:rPr/>
      </w:pPr>
      <w:r>
        <w:rPr>
          <w:color w:val="auto"/>
          <w:sz w:val="24"/>
          <w:lang w:eastAsia="ru-RU"/>
        </w:rPr>
        <w:t xml:space="preserve">в) из решения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w:t>
      </w:r>
    </w:p>
    <w:p>
      <w:pPr>
        <w:pStyle w:val="Normal"/>
        <w:rPr/>
      </w:pPr>
      <w:r>
        <w:rPr>
          <w:color w:val="auto"/>
          <w:sz w:val="24"/>
          <w:lang w:eastAsia="ru-RU"/>
        </w:rPr>
        <w:t>г) из акта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pPr>
        <w:pStyle w:val="Normal"/>
        <w:rPr/>
      </w:pPr>
      <w:r>
        <w:rPr>
          <w:color w:val="auto"/>
          <w:sz w:val="24"/>
          <w:lang w:eastAsia="ru-RU"/>
        </w:rPr>
        <w:t>д) о предоставлении правоустанавливающих и (или) правоудостоверяющих документов (сведений из них) на объект (объекты) адресации (в случае, если права на объект адресации не зарегистрированы в Едином государственном реестре недвижимости и объект адресации находится в муниципальной собственности);</w:t>
      </w:r>
    </w:p>
    <w:p>
      <w:pPr>
        <w:pStyle w:val="Normal"/>
        <w:rPr/>
      </w:pPr>
      <w:r>
        <w:rPr>
          <w:color w:val="auto"/>
          <w:sz w:val="24"/>
          <w:lang w:eastAsia="ru-RU"/>
        </w:rPr>
        <w:t>е) государственный или муниципальный контракт на выполнение комплексных кадастровых работ, заключенный заказчиком комплексных кадастровых работ с индивидуальным предпринимателем, указанным в статье 32 настоящего Федерального закона, или юридическим лицом, указанным в статье 33 Федерального закона № 221-ФЗ, в порядке, установленном Федеральным законом от 0</w:t>
      </w:r>
      <w:bookmarkStart w:id="5" w:name="_GoBack"/>
      <w:bookmarkEnd w:id="5"/>
      <w:r>
        <w:rPr>
          <w:color w:val="auto"/>
          <w:sz w:val="24"/>
          <w:lang w:eastAsia="ru-RU"/>
        </w:rPr>
        <w:t>5.04.2013 года № 44-ФЗ «О контрактной системе в сфере закупок товаров, работ, услуг для обеспечения государственных и муниципальных нужд»;</w:t>
      </w:r>
    </w:p>
    <w:p>
      <w:pPr>
        <w:pStyle w:val="Normal"/>
        <w:rPr/>
      </w:pPr>
      <w:r>
        <w:rPr>
          <w:color w:val="auto"/>
          <w:sz w:val="24"/>
          <w:lang w:eastAsia="ru-RU"/>
        </w:rPr>
        <w:t>2.7.1.8. </w:t>
      </w:r>
      <w:r>
        <w:rPr>
          <w:color w:val="auto"/>
          <w:sz w:val="24"/>
        </w:rPr>
        <w:t>в органы опеки и попечительства о предоставлении сведений из приказа (постановления) об установлении опеки (попечительства) (в случае подачи заявления представителем заявителя, действующего на основании приказа (постановления) об установлении опеки (попечительства), принятого органами опеки и попечительства в соответствии с законодательством Российской Федерации);</w:t>
      </w:r>
    </w:p>
    <w:p>
      <w:pPr>
        <w:pStyle w:val="Normal"/>
        <w:rPr/>
      </w:pPr>
      <w:r>
        <w:rPr>
          <w:color w:val="auto"/>
          <w:sz w:val="24"/>
        </w:rPr>
        <w:t>2.7.1.9. в Управление Министерства внутренних дел России по Тюменской области</w:t>
      </w:r>
      <w:r>
        <w:rPr>
          <w:bCs/>
          <w:color w:val="auto"/>
          <w:sz w:val="24"/>
        </w:rPr>
        <w:t xml:space="preserve"> </w:t>
      </w:r>
      <w:r>
        <w:rPr>
          <w:color w:val="auto"/>
          <w:sz w:val="24"/>
        </w:rPr>
        <w:t>о предоставлении сведений о действительности (недействительности) паспорта гражданина Российской Федерации, удостоверяющего личность заявителя (представителя заявителя).</w:t>
      </w:r>
    </w:p>
    <w:p>
      <w:pPr>
        <w:pStyle w:val="Normal"/>
        <w:rPr/>
      </w:pPr>
      <w:r>
        <w:rPr>
          <w:b/>
          <w:bCs/>
          <w:color w:val="auto"/>
          <w:sz w:val="24"/>
        </w:rPr>
        <w:t>2.8. Исчерпывающий перечень оснований для отказа в приеме документов, необходимых для предоставления муниципальной услуги</w:t>
      </w:r>
    </w:p>
    <w:p>
      <w:pPr>
        <w:pStyle w:val="Normal"/>
        <w:rPr/>
      </w:pPr>
      <w:r>
        <w:rPr>
          <w:color w:val="auto"/>
          <w:sz w:val="24"/>
        </w:rPr>
        <w:t>Исчерпывающий перечень оснований для отказа в приеме документов, указанных в главе 2.6 Регламента, в том числе представленных в электронной форме:</w:t>
      </w:r>
    </w:p>
    <w:p>
      <w:pPr>
        <w:pStyle w:val="ConsPlusNormal"/>
        <w:shd w:fill="FFFFFF" w:val="clear"/>
        <w:ind w:firstLine="567"/>
        <w:jc w:val="both"/>
        <w:rPr>
          <w:color w:val="auto"/>
          <w:sz w:val="24"/>
          <w:szCs w:val="24"/>
        </w:rPr>
      </w:pPr>
      <w:r>
        <w:rPr>
          <w:color w:val="auto"/>
          <w:sz w:val="24"/>
          <w:szCs w:val="24"/>
        </w:rPr>
        <w:t>а) заявление представлено в орган местного самоуправления, в полномочия которого не входит предоставление услуги;</w:t>
      </w:r>
    </w:p>
    <w:p>
      <w:pPr>
        <w:pStyle w:val="ConsPlusNormal"/>
        <w:shd w:fill="FFFFFF" w:val="clear"/>
        <w:ind w:firstLine="567"/>
        <w:jc w:val="both"/>
        <w:rPr>
          <w:sz w:val="24"/>
          <w:szCs w:val="24"/>
        </w:rPr>
      </w:pPr>
      <w:r>
        <w:rPr>
          <w:color w:val="auto"/>
          <w:sz w:val="24"/>
          <w:szCs w:val="24"/>
        </w:rPr>
        <w:t xml:space="preserve">б) неполное заполнение полей в форме заявления, в том числе в интерактивной форме </w:t>
      </w:r>
      <w:r>
        <w:rPr>
          <w:rStyle w:val="FootnoteCharacters"/>
          <w:rFonts w:eastAsia="Times New Roman" w:cs="Arial"/>
          <w:color w:val="auto"/>
          <w:sz w:val="24"/>
          <w:szCs w:val="24"/>
          <w:lang w:eastAsia="en-US"/>
        </w:rPr>
        <w:t>Единого портала</w:t>
      </w:r>
      <w:r>
        <w:rPr>
          <w:color w:val="auto"/>
          <w:sz w:val="24"/>
          <w:szCs w:val="24"/>
        </w:rPr>
        <w:t>;</w:t>
      </w:r>
    </w:p>
    <w:p>
      <w:pPr>
        <w:pStyle w:val="ConsPlusNormal"/>
        <w:shd w:fill="FFFFFF" w:val="clear"/>
        <w:ind w:firstLine="567"/>
        <w:jc w:val="both"/>
        <w:rPr>
          <w:color w:val="auto"/>
        </w:rPr>
      </w:pPr>
      <w:r>
        <w:rPr>
          <w:color w:val="auto"/>
          <w:sz w:val="24"/>
          <w:szCs w:val="24"/>
        </w:rPr>
        <w:t xml:space="preserve">в) непредставление заявления,  документов, указанных в </w:t>
      </w:r>
      <w:r>
        <w:rPr>
          <w:rFonts w:eastAsia="Times New Roman" w:cs="Calibri"/>
          <w:color w:val="auto"/>
          <w:sz w:val="24"/>
          <w:szCs w:val="24"/>
        </w:rPr>
        <w:t xml:space="preserve">пункте </w:t>
      </w:r>
      <w:r>
        <w:rPr>
          <w:color w:val="auto"/>
          <w:sz w:val="24"/>
          <w:szCs w:val="24"/>
        </w:rPr>
        <w:t xml:space="preserve">2.6.2 Регламента; </w:t>
      </w:r>
    </w:p>
    <w:p>
      <w:pPr>
        <w:pStyle w:val="ConsPlusNormal"/>
        <w:shd w:fill="FFFFFF" w:val="clear"/>
        <w:ind w:firstLine="567"/>
        <w:jc w:val="both"/>
        <w:rPr>
          <w:color w:val="auto"/>
          <w:sz w:val="24"/>
          <w:szCs w:val="24"/>
        </w:rPr>
      </w:pPr>
      <w:r>
        <w:rPr>
          <w:color w:val="auto"/>
          <w:sz w:val="24"/>
          <w:szCs w:val="24"/>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pPr>
        <w:pStyle w:val="ConsPlusNormal"/>
        <w:shd w:fill="FFFFFF" w:val="clear"/>
        <w:ind w:firstLine="567"/>
        <w:jc w:val="both"/>
        <w:rPr>
          <w:color w:val="auto"/>
          <w:sz w:val="24"/>
          <w:szCs w:val="24"/>
        </w:rPr>
      </w:pPr>
      <w:r>
        <w:rPr>
          <w:color w:val="auto"/>
          <w:sz w:val="24"/>
          <w:szCs w:val="24"/>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ConsPlusNormal"/>
        <w:shd w:fill="FFFFFF" w:val="clear"/>
        <w:ind w:firstLine="567"/>
        <w:jc w:val="both"/>
        <w:rPr>
          <w:color w:val="auto"/>
          <w:sz w:val="24"/>
          <w:szCs w:val="24"/>
        </w:rPr>
      </w:pPr>
      <w:r>
        <w:rPr>
          <w:color w:val="auto"/>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pPr>
        <w:pStyle w:val="ConsPlusNormal"/>
        <w:shd w:fill="FFFFFF" w:val="clear"/>
        <w:ind w:firstLine="567"/>
        <w:jc w:val="both"/>
        <w:rPr>
          <w:color w:val="auto"/>
          <w:sz w:val="24"/>
          <w:szCs w:val="24"/>
        </w:rPr>
      </w:pPr>
      <w:r>
        <w:rPr>
          <w:color w:val="auto"/>
          <w:sz w:val="24"/>
          <w:szCs w:val="24"/>
        </w:rPr>
        <w:t>ж) з</w:t>
      </w:r>
      <w:r>
        <w:rPr>
          <w:rFonts w:eastAsia="Times New Roman"/>
          <w:color w:val="auto"/>
          <w:sz w:val="24"/>
          <w:szCs w:val="24"/>
          <w:lang w:eastAsia="ru-RU"/>
        </w:rPr>
        <w:t>аявление, д</w:t>
      </w:r>
      <w:r>
        <w:rPr>
          <w:color w:val="auto"/>
          <w:sz w:val="24"/>
          <w:szCs w:val="24"/>
        </w:rPr>
        <w:t xml:space="preserve">окументы представлены в электронной форме с нарушением требований, установленных пунктом </w:t>
      </w:r>
      <w:r>
        <w:rPr>
          <w:rFonts w:cs="Arial"/>
          <w:color w:val="auto"/>
          <w:sz w:val="24"/>
          <w:szCs w:val="24"/>
        </w:rPr>
        <w:t>2.6.</w:t>
      </w:r>
      <w:r>
        <w:rPr>
          <w:rFonts w:eastAsia="Times New Roman" w:cs="Arial"/>
          <w:color w:val="auto"/>
          <w:sz w:val="24"/>
          <w:szCs w:val="24"/>
        </w:rPr>
        <w:t>4</w:t>
      </w:r>
      <w:r>
        <w:rPr>
          <w:color w:val="auto"/>
          <w:sz w:val="24"/>
          <w:szCs w:val="24"/>
        </w:rPr>
        <w:t xml:space="preserve"> Регламента;</w:t>
      </w:r>
    </w:p>
    <w:p>
      <w:pPr>
        <w:pStyle w:val="ConsPlusNormal"/>
        <w:widowControl w:val="false"/>
        <w:shd w:fill="FFFFFF" w:val="clear"/>
        <w:ind w:firstLine="567"/>
        <w:jc w:val="both"/>
        <w:rPr/>
      </w:pPr>
      <w:r>
        <w:rPr>
          <w:rFonts w:cs="Arial"/>
          <w:color w:val="auto"/>
          <w:szCs w:val="26"/>
        </w:rPr>
        <w:t>з) </w:t>
      </w:r>
      <w:r>
        <w:rPr>
          <w:rFonts w:cs="Arial"/>
          <w:color w:val="auto"/>
          <w:sz w:val="24"/>
          <w:szCs w:val="24"/>
        </w:rPr>
        <w:t xml:space="preserve"> в результате проверки выявлено несоблюдение условий признания действительности квалифицированной подписи, установленных </w:t>
      </w:r>
      <w:r>
        <w:rPr>
          <w:rFonts w:cs="Arial"/>
          <w:color w:val="auto"/>
          <w:sz w:val="24"/>
          <w:szCs w:val="24"/>
          <w:lang w:eastAsia="ru-RU"/>
        </w:rPr>
        <w:t>статьей 11 Федерального закона от 06.04.2011 № 63-ФЗ «Об электронной подписи»</w:t>
      </w:r>
      <w:r>
        <w:rPr>
          <w:rFonts w:cs="Arial"/>
          <w:color w:val="auto"/>
          <w:sz w:val="24"/>
          <w:szCs w:val="24"/>
        </w:rPr>
        <w:t xml:space="preserve"> (далее - Федеральный закон № 63-ФЗ).</w:t>
      </w:r>
    </w:p>
    <w:p>
      <w:pPr>
        <w:pStyle w:val="ConsPlusNormal"/>
        <w:widowControl w:val="false"/>
        <w:shd w:fill="FFFFFF" w:val="clear"/>
        <w:ind w:firstLine="567"/>
        <w:jc w:val="both"/>
        <w:rPr/>
      </w:pPr>
      <w:r>
        <w:rPr>
          <w:rFonts w:cs="Arial"/>
          <w:b/>
          <w:bCs/>
          <w:color w:val="auto"/>
          <w:sz w:val="24"/>
          <w:szCs w:val="24"/>
        </w:rPr>
        <w:t>2.9. Исчерпывающий перечень оснований для отказа в предоставлении муниципальной услуги или приостановления предоставления муниципальной услуги</w:t>
      </w:r>
    </w:p>
    <w:p>
      <w:pPr>
        <w:pStyle w:val="ConsPlusNormal"/>
        <w:widowControl w:val="false"/>
        <w:shd w:fill="FFFFFF" w:val="clear"/>
        <w:ind w:firstLine="567"/>
        <w:jc w:val="both"/>
        <w:rPr/>
      </w:pPr>
      <w:r>
        <w:rPr>
          <w:rFonts w:cs="Arial"/>
          <w:color w:val="auto"/>
          <w:sz w:val="24"/>
          <w:szCs w:val="24"/>
        </w:rPr>
        <w:t>2.9.1.</w:t>
      </w:r>
      <w:r>
        <w:rPr>
          <w:rFonts w:cs="Arial"/>
          <w:i/>
          <w:iCs/>
          <w:color w:val="auto"/>
          <w:sz w:val="24"/>
          <w:szCs w:val="24"/>
        </w:rPr>
        <w:t> </w:t>
      </w:r>
      <w:r>
        <w:rPr>
          <w:rFonts w:cs="Arial"/>
          <w:color w:val="auto"/>
          <w:sz w:val="24"/>
          <w:szCs w:val="24"/>
        </w:rPr>
        <w:t>В присвоении объекту адресации адреса или аннулировании его адреса может быть отказано в случаях, если:</w:t>
      </w:r>
    </w:p>
    <w:p>
      <w:pPr>
        <w:pStyle w:val="ConsPlusNormal"/>
        <w:widowControl w:val="false"/>
        <w:shd w:fill="FFFFFF" w:val="clear"/>
        <w:ind w:firstLine="567"/>
        <w:jc w:val="both"/>
        <w:rPr/>
      </w:pPr>
      <w:r>
        <w:rPr>
          <w:rFonts w:cs="Arial"/>
          <w:color w:val="auto"/>
          <w:sz w:val="24"/>
          <w:szCs w:val="24"/>
        </w:rPr>
        <w:t>а) с заявлением о присвоении объекту адресации адреса обратилось лицо, не указанное в главе 1.2 Регламента;</w:t>
      </w:r>
    </w:p>
    <w:p>
      <w:pPr>
        <w:pStyle w:val="ConsPlusNormal"/>
        <w:widowControl w:val="false"/>
        <w:shd w:fill="FFFFFF" w:val="clear"/>
        <w:ind w:firstLine="567"/>
        <w:jc w:val="both"/>
        <w:rPr/>
      </w:pPr>
      <w:r>
        <w:rPr>
          <w:rFonts w:cs="Arial"/>
          <w:color w:val="auto"/>
          <w:sz w:val="24"/>
          <w:szCs w:val="24"/>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pPr>
        <w:pStyle w:val="ConsPlusNormal"/>
        <w:widowControl w:val="false"/>
        <w:shd w:fill="FFFFFF" w:val="clear"/>
        <w:ind w:firstLine="567"/>
        <w:jc w:val="both"/>
        <w:rPr/>
      </w:pPr>
      <w:r>
        <w:rPr>
          <w:rFonts w:cs="Arial"/>
          <w:color w:val="auto"/>
          <w:sz w:val="24"/>
          <w:szCs w:val="24"/>
        </w:rPr>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pPr>
        <w:pStyle w:val="ConsPlusNormal"/>
        <w:widowControl w:val="false"/>
        <w:shd w:fill="FFFFFF" w:val="clear"/>
        <w:ind w:firstLine="567"/>
        <w:jc w:val="both"/>
        <w:rPr/>
      </w:pPr>
      <w:r>
        <w:rPr>
          <w:rFonts w:cs="Arial"/>
          <w:color w:val="auto"/>
          <w:sz w:val="24"/>
          <w:szCs w:val="24"/>
        </w:rPr>
        <w:t>г) отсутствуют случаи и условия для присвоения объекту адресации адреса или аннулирования его адреса, указанные в пунктах 5, 8 - 11 и 14 - 18 Правил присвоения адресов.</w:t>
      </w:r>
    </w:p>
    <w:p>
      <w:pPr>
        <w:pStyle w:val="ConsPlusNormal"/>
        <w:widowControl w:val="false"/>
        <w:shd w:fill="FFFFFF" w:val="clear"/>
        <w:ind w:firstLine="567"/>
        <w:jc w:val="both"/>
        <w:rPr/>
      </w:pPr>
      <w:r>
        <w:rPr>
          <w:rFonts w:cs="Arial"/>
          <w:color w:val="auto"/>
          <w:sz w:val="24"/>
          <w:szCs w:val="24"/>
        </w:rPr>
        <w:t>2.9.2. Решение об отказе в присвоении объекту адресации адреса или аннулировании его адреса должно содержать обязательную ссылку на положения пункта 40 Правил присвоения адресов, являющихся основанием для отказа, и быть принято по форме, установленной приказом Министерства финансов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(далее — приказ Минфина России № 146н).</w:t>
      </w:r>
    </w:p>
    <w:p>
      <w:pPr>
        <w:pStyle w:val="ConsPlusNormal"/>
        <w:widowControl w:val="false"/>
        <w:shd w:fill="FFFFFF" w:val="clear"/>
        <w:ind w:firstLine="567"/>
        <w:jc w:val="both"/>
        <w:rPr/>
      </w:pPr>
      <w:r>
        <w:rPr>
          <w:rFonts w:cs="Arial"/>
          <w:color w:val="auto"/>
          <w:sz w:val="24"/>
          <w:szCs w:val="24"/>
        </w:rPr>
        <w:t>2.9.3. Непредставление (несвоевременное представление) органом или организацией по межведомственному запросу документов и информации, указанных в главе 2.7 Регламента, в Администрацию не может являться основанием для отказа в предоставлении заявителю муниципальной услуги.</w:t>
      </w:r>
    </w:p>
    <w:p>
      <w:pPr>
        <w:pStyle w:val="ConsPlusNormal"/>
        <w:widowControl w:val="false"/>
        <w:shd w:fill="FFFFFF" w:val="clear"/>
        <w:ind w:firstLine="567"/>
        <w:jc w:val="both"/>
        <w:rPr/>
      </w:pPr>
      <w:r>
        <w:rPr>
          <w:rFonts w:cs="Arial"/>
          <w:color w:val="auto"/>
          <w:sz w:val="24"/>
          <w:szCs w:val="24"/>
        </w:rPr>
        <w:t>2.9.4. Основания для приостановления предоставления муниципальной услуги отсутствуют.</w:t>
      </w:r>
    </w:p>
    <w:p>
      <w:pPr>
        <w:pStyle w:val="Normal"/>
        <w:widowControl w:val="false"/>
        <w:shd w:fill="FFFFFF" w:val="clear"/>
        <w:jc w:val="center"/>
        <w:rPr>
          <w:i/>
          <w:i/>
          <w:iCs/>
          <w:color w:val="auto"/>
          <w:sz w:val="24"/>
        </w:rPr>
      </w:pPr>
      <w:r>
        <w:rPr>
          <w:i/>
          <w:iCs/>
          <w:color w:val="auto"/>
          <w:sz w:val="24"/>
        </w:rPr>
      </w:r>
    </w:p>
    <w:p>
      <w:pPr>
        <w:pStyle w:val="Normal"/>
        <w:widowControl w:val="false"/>
        <w:shd w:fill="FFFFFF" w:val="clear"/>
        <w:rPr>
          <w:b/>
          <w:b/>
          <w:bCs/>
          <w:color w:val="auto"/>
          <w:sz w:val="24"/>
        </w:rPr>
      </w:pPr>
      <w:r>
        <w:rPr>
          <w:b/>
          <w:bCs/>
          <w:color w:val="auto"/>
          <w:sz w:val="24"/>
        </w:rPr>
        <w:t>2.10. Способы, размер и основания взимания платы за предоставление муниципальной услуги</w:t>
      </w:r>
    </w:p>
    <w:p>
      <w:pPr>
        <w:pStyle w:val="Normal"/>
        <w:widowControl w:val="false"/>
        <w:shd w:fill="FFFFFF" w:val="clear"/>
        <w:rPr>
          <w:color w:val="auto"/>
          <w:sz w:val="24"/>
        </w:rPr>
      </w:pPr>
      <w:r>
        <w:rPr>
          <w:color w:val="auto"/>
          <w:sz w:val="24"/>
        </w:rPr>
        <w:t>Услуга предоставляется бесплатно - без взимания государственной пошлины или иной платы.</w:t>
      </w:r>
    </w:p>
    <w:p>
      <w:pPr>
        <w:pStyle w:val="Normal"/>
        <w:widowControl w:val="false"/>
        <w:shd w:fill="FFFFFF" w:val="clear"/>
        <w:rPr>
          <w:color w:val="auto"/>
          <w:sz w:val="24"/>
        </w:rPr>
      </w:pPr>
      <w:r>
        <w:rPr>
          <w:color w:val="auto"/>
          <w:sz w:val="24"/>
        </w:rPr>
      </w:r>
    </w:p>
    <w:p>
      <w:pPr>
        <w:pStyle w:val="Normal"/>
        <w:widowControl w:val="false"/>
        <w:shd w:fill="FFFFFF" w:val="clear"/>
        <w:rPr>
          <w:b/>
          <w:b/>
          <w:bCs/>
          <w:color w:val="auto"/>
          <w:sz w:val="24"/>
        </w:rPr>
      </w:pPr>
      <w:r>
        <w:rPr>
          <w:rFonts w:eastAsia="Arial"/>
          <w:b/>
          <w:bCs/>
          <w:color w:val="auto"/>
          <w:sz w:val="24"/>
        </w:rPr>
        <w:t>2.11. Перечень услуг, которые являются необходимыми и обязательными для предоставления муниципальной услуги и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Normal"/>
        <w:widowControl w:val="false"/>
        <w:shd w:fill="FFFFFF" w:val="clear"/>
        <w:rPr>
          <w:rFonts w:eastAsia="Arial"/>
          <w:color w:val="auto"/>
          <w:sz w:val="24"/>
        </w:rPr>
      </w:pPr>
      <w:r>
        <w:rPr>
          <w:rFonts w:eastAsia="Arial"/>
          <w:color w:val="auto"/>
          <w:sz w:val="24"/>
        </w:rPr>
        <w:t>Услуги, которые являются необходимыми и обязательными для предоставления муниципальной услуги, отсутствуют.</w:t>
      </w:r>
    </w:p>
    <w:p>
      <w:pPr>
        <w:pStyle w:val="Normal"/>
        <w:widowControl w:val="false"/>
        <w:shd w:fill="FFFFFF" w:val="clear"/>
        <w:rPr>
          <w:rFonts w:eastAsia="Arial"/>
          <w:color w:val="auto"/>
          <w:sz w:val="24"/>
        </w:rPr>
      </w:pPr>
      <w:r>
        <w:rPr>
          <w:rFonts w:eastAsia="Arial"/>
          <w:color w:val="auto"/>
          <w:sz w:val="24"/>
        </w:rPr>
        <w:t>В связи с отсутствием услуг, которые являются необходимыми и обязательными для предоставления муниципальной услуги, взимание платы за предоставление таких услуг не предусмотрено.</w:t>
      </w:r>
    </w:p>
    <w:p>
      <w:pPr>
        <w:pStyle w:val="Normal"/>
        <w:widowControl w:val="false"/>
        <w:shd w:fill="FFFFFF" w:val="clear"/>
        <w:rPr>
          <w:color w:val="auto"/>
          <w:sz w:val="24"/>
        </w:rPr>
      </w:pPr>
      <w:r>
        <w:rPr>
          <w:color w:val="auto"/>
          <w:sz w:val="24"/>
        </w:rPr>
      </w:r>
    </w:p>
    <w:p>
      <w:pPr>
        <w:pStyle w:val="Normal"/>
        <w:widowControl w:val="false"/>
        <w:shd w:fill="FFFFFF" w:val="clear"/>
        <w:rPr/>
      </w:pPr>
      <w:r>
        <w:rPr>
          <w:b/>
          <w:bCs/>
          <w:color w:val="auto"/>
          <w:sz w:val="24"/>
        </w:rPr>
        <w:t>2.12. 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pPr>
        <w:pStyle w:val="Normal"/>
        <w:widowControl w:val="false"/>
        <w:shd w:fill="FFFFFF" w:val="clear"/>
        <w:rPr/>
      </w:pPr>
      <w:r>
        <w:rPr>
          <w:color w:val="auto"/>
          <w:sz w:val="24"/>
        </w:rPr>
        <w:t>Время ожидания в очереди при подаче заявления на предоставление муниципальной услуги не должно превышать 15 минут.</w:t>
      </w:r>
    </w:p>
    <w:p>
      <w:pPr>
        <w:pStyle w:val="Normal"/>
        <w:widowControl w:val="false"/>
        <w:shd w:fill="FFFFFF" w:val="clear"/>
        <w:rPr/>
      </w:pPr>
      <w:r>
        <w:rPr>
          <w:color w:val="auto"/>
          <w:sz w:val="24"/>
        </w:rPr>
        <w:t>Время ожидания в очереди при получении результата муниципальной услуги не должно превышать 15 минут.</w:t>
      </w:r>
    </w:p>
    <w:p>
      <w:pPr>
        <w:pStyle w:val="Normal"/>
        <w:widowControl w:val="false"/>
        <w:shd w:fill="FFFFFF" w:val="clear"/>
        <w:rPr/>
      </w:pPr>
      <w:r>
        <w:rPr>
          <w:b/>
          <w:bCs/>
          <w:color w:val="auto"/>
          <w:sz w:val="24"/>
        </w:rPr>
        <w:t>2.13. Срок регистрации заявления заявителя о предоставлении муниципальной услуги и услуги, предоставляемой организацией, участвующей в предоставлении муниципальной услуги</w:t>
      </w:r>
    </w:p>
    <w:p>
      <w:pPr>
        <w:pStyle w:val="Normal"/>
        <w:widowControl w:val="false"/>
        <w:shd w:fill="FFFFFF" w:val="clear"/>
        <w:rPr/>
      </w:pPr>
      <w:r>
        <w:rPr>
          <w:color w:val="auto"/>
          <w:sz w:val="24"/>
        </w:rPr>
        <w:t xml:space="preserve">Регистрация заявления при личном обращении заявителя (представителя заявителя) в МФЦ не должна превышать 15 минут. </w:t>
      </w:r>
    </w:p>
    <w:p>
      <w:pPr>
        <w:pStyle w:val="Normal"/>
        <w:widowControl w:val="false"/>
        <w:shd w:fill="FFFFFF" w:val="clear"/>
        <w:rPr/>
      </w:pPr>
      <w:r>
        <w:rPr>
          <w:color w:val="auto"/>
          <w:sz w:val="24"/>
        </w:rPr>
        <w:t>При поступлении заявления в электронной форме с помощью портала адресной системы, в Администрацию из МФЦ, почтой в рабочие дни в пределах рабочего времени согласно графику работы Администрации - в день его поступления, при поступлении заявления  в выходные или праздничные дни, а также  вне часов работы Администрации согласно графику - в первый рабочий день, следующий за днем его поступления.</w:t>
      </w:r>
    </w:p>
    <w:p>
      <w:pPr>
        <w:pStyle w:val="Normal"/>
        <w:widowControl w:val="false"/>
        <w:shd w:fill="FFFFFF" w:val="clear"/>
        <w:rPr/>
      </w:pPr>
      <w:r>
        <w:rPr>
          <w:b/>
          <w:bCs/>
          <w:color w:val="auto"/>
          <w:sz w:val="24"/>
        </w:rPr>
        <w:t>2.14.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widowControl w:val="false"/>
        <w:shd w:fill="FFFFFF" w:val="clear"/>
        <w:rPr/>
      </w:pPr>
      <w:r>
        <w:rPr>
          <w:color w:val="auto"/>
          <w:sz w:val="24"/>
        </w:rPr>
        <w:t>Требования к помещениям МФЦ, в которых предоставляется муниципальная услуга, зал</w:t>
      </w:r>
      <w:r>
        <w:rPr>
          <w:rFonts w:eastAsia="Times New Roman"/>
          <w:color w:val="auto"/>
          <w:sz w:val="24"/>
          <w:lang w:eastAsia="ar-SA"/>
        </w:rPr>
        <w:t>ам</w:t>
      </w:r>
      <w:r>
        <w:rPr>
          <w:color w:val="auto"/>
          <w:sz w:val="24"/>
        </w:rPr>
        <w:t xml:space="preserve"> ожидания, мест</w:t>
      </w:r>
      <w:r>
        <w:rPr>
          <w:rFonts w:eastAsia="Times New Roman"/>
          <w:color w:val="auto"/>
          <w:sz w:val="24"/>
          <w:lang w:eastAsia="ar-SA"/>
        </w:rPr>
        <w:t>ам</w:t>
      </w:r>
      <w:r>
        <w:rPr>
          <w:color w:val="auto"/>
          <w:sz w:val="24"/>
        </w:rPr>
        <w:t xml:space="preserve"> для заполнения заявлений, информационны</w:t>
      </w:r>
      <w:r>
        <w:rPr>
          <w:rFonts w:eastAsia="Times New Roman"/>
          <w:color w:val="auto"/>
          <w:sz w:val="24"/>
          <w:lang w:eastAsia="ar-SA"/>
        </w:rPr>
        <w:t>м</w:t>
      </w:r>
      <w:r>
        <w:rPr>
          <w:color w:val="auto"/>
          <w:sz w:val="24"/>
        </w:rPr>
        <w:t xml:space="preserve"> стенд</w:t>
      </w:r>
      <w:r>
        <w:rPr>
          <w:rFonts w:eastAsia="Times New Roman"/>
          <w:color w:val="auto"/>
          <w:sz w:val="24"/>
          <w:lang w:eastAsia="ar-SA"/>
        </w:rPr>
        <w:t>ам</w:t>
      </w:r>
      <w:r>
        <w:rPr>
          <w:color w:val="auto"/>
          <w:sz w:val="24"/>
        </w:rPr>
        <w:t xml:space="preserve"> с образцами их заполнения и перечнем документов, необходимых для предоставления муниципальной услуги, установлены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w:t>
      </w:r>
    </w:p>
    <w:p>
      <w:pPr>
        <w:pStyle w:val="Normal"/>
        <w:widowControl w:val="false"/>
        <w:shd w:fill="FFFFFF" w:val="clear"/>
        <w:rPr>
          <w:color w:val="auto"/>
          <w:sz w:val="24"/>
        </w:rPr>
      </w:pPr>
      <w:r>
        <w:rPr>
          <w:color w:val="auto"/>
          <w:sz w:val="24"/>
        </w:rPr>
      </w:r>
    </w:p>
    <w:p>
      <w:pPr>
        <w:pStyle w:val="Normal"/>
        <w:rPr>
          <w:b/>
          <w:b/>
          <w:bCs/>
          <w:color w:val="auto"/>
          <w:sz w:val="24"/>
        </w:rPr>
      </w:pPr>
      <w:r>
        <w:rPr>
          <w:b/>
          <w:bCs/>
          <w:color w:val="auto"/>
          <w:sz w:val="24"/>
        </w:rPr>
        <w:t>2.15. Показатели доступности и качества муниципальной услуги</w:t>
      </w:r>
    </w:p>
    <w:p>
      <w:pPr>
        <w:pStyle w:val="Normal"/>
        <w:rPr>
          <w:color w:val="auto"/>
          <w:sz w:val="24"/>
        </w:rPr>
      </w:pPr>
      <w:r>
        <w:rPr>
          <w:color w:val="auto"/>
          <w:sz w:val="24"/>
        </w:rPr>
        <w:t>2.15.1. Показателями доступности муниципальной услуги являются:</w:t>
      </w:r>
    </w:p>
    <w:p>
      <w:pPr>
        <w:pStyle w:val="Normal"/>
        <w:rPr>
          <w:color w:val="auto"/>
          <w:sz w:val="24"/>
        </w:rPr>
      </w:pPr>
      <w:r>
        <w:rPr>
          <w:color w:val="auto"/>
          <w:sz w:val="24"/>
        </w:rPr>
        <w:t>а) наличие полной, достоверной и доступной для заявителя информации о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Normal"/>
        <w:rPr>
          <w:color w:val="auto"/>
          <w:sz w:val="24"/>
        </w:rPr>
      </w:pPr>
      <w:r>
        <w:rPr>
          <w:color w:val="auto"/>
          <w:sz w:val="24"/>
        </w:rPr>
        <w:t>б) наличие помещений, оборудования и оснащения, отвечающих требованиям Регламента;</w:t>
      </w:r>
    </w:p>
    <w:p>
      <w:pPr>
        <w:pStyle w:val="Normal"/>
        <w:rPr>
          <w:bCs/>
        </w:rPr>
      </w:pPr>
      <w:r>
        <w:rPr>
          <w:color w:val="auto"/>
          <w:sz w:val="24"/>
        </w:rPr>
        <w:t>в) соблюдение режима работы Администрации при предоставлении муниципальной услуги;</w:t>
      </w:r>
    </w:p>
    <w:p>
      <w:pPr>
        <w:pStyle w:val="Normal"/>
        <w:rPr>
          <w:color w:val="auto"/>
          <w:sz w:val="24"/>
        </w:rPr>
      </w:pPr>
      <w:r>
        <w:rPr>
          <w:color w:val="auto"/>
          <w:sz w:val="24"/>
        </w:rPr>
        <w:t>г) возможность получения муниципальной услуги через МФЦ и в электронной форме;</w:t>
      </w:r>
    </w:p>
    <w:p>
      <w:pPr>
        <w:pStyle w:val="Normal"/>
        <w:rPr>
          <w:color w:val="auto"/>
          <w:sz w:val="24"/>
        </w:rPr>
      </w:pPr>
      <w:r>
        <w:rPr>
          <w:color w:val="auto"/>
          <w:sz w:val="24"/>
        </w:rPr>
        <w:t>2.15.2. Показателями качества муниципальной услуги являются:</w:t>
      </w:r>
    </w:p>
    <w:p>
      <w:pPr>
        <w:pStyle w:val="Normal"/>
        <w:rPr>
          <w:color w:val="auto"/>
          <w:sz w:val="24"/>
        </w:rPr>
      </w:pPr>
      <w:r>
        <w:rPr>
          <w:color w:val="auto"/>
          <w:sz w:val="24"/>
        </w:rPr>
        <w:t>а) соблюдение сроков и последовательности административных процедур, установленных Регламентом;</w:t>
      </w:r>
    </w:p>
    <w:p>
      <w:pPr>
        <w:pStyle w:val="Normal"/>
        <w:rPr>
          <w:bCs/>
        </w:rPr>
      </w:pPr>
      <w:r>
        <w:rPr>
          <w:color w:val="auto"/>
          <w:sz w:val="24"/>
        </w:rPr>
        <w:t>б) отсутствие обоснованных жалоб на действия (бездействие) и решения сотрудников Администрации;</w:t>
      </w:r>
    </w:p>
    <w:p>
      <w:pPr>
        <w:pStyle w:val="Normal"/>
        <w:widowControl w:val="false"/>
        <w:shd w:fill="FFFFFF" w:val="clear"/>
        <w:rPr/>
      </w:pPr>
      <w:r>
        <w:rPr>
          <w:color w:val="auto"/>
          <w:sz w:val="24"/>
        </w:rPr>
        <w:t>в) количество взаимодействий заявителя с сотрудниками Администрации при предоставлении муниципальной услуги и их продолжительность.</w:t>
      </w:r>
    </w:p>
    <w:p>
      <w:pPr>
        <w:pStyle w:val="Normal"/>
        <w:widowControl w:val="false"/>
        <w:shd w:fill="FFFFFF" w:val="clear"/>
        <w:rPr/>
      </w:pPr>
      <w:r>
        <w:rPr>
          <w:b/>
          <w:bCs/>
          <w:color w:val="auto"/>
          <w:sz w:val="24"/>
        </w:rPr>
        <w:t>2.16. Иные требования, в том числе учитывающие случаи и порядок предоставления муниципальной услуги в упреждающем (проактивном) режиме,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pPr>
        <w:pStyle w:val="Normal"/>
        <w:widowControl w:val="false"/>
        <w:shd w:fill="FFFFFF" w:val="clear"/>
        <w:rPr/>
      </w:pPr>
      <w:r>
        <w:rPr>
          <w:color w:val="auto"/>
          <w:sz w:val="24"/>
        </w:rPr>
        <w:t>2.16.1. При предоставлении муниципальной услуги в электронной форме заявитель вправе:</w:t>
      </w:r>
    </w:p>
    <w:p>
      <w:pPr>
        <w:pStyle w:val="Normal"/>
        <w:widowControl w:val="false"/>
        <w:shd w:fill="FFFFFF" w:val="clear"/>
        <w:rPr/>
      </w:pPr>
      <w:r>
        <w:rPr>
          <w:color w:val="auto"/>
          <w:sz w:val="24"/>
        </w:rPr>
        <w:t>а) получить информацию о порядке и сроках предоставления муниципальной услуги, размещенной  на Един</w:t>
      </w:r>
      <w:r>
        <w:rPr>
          <w:rFonts w:eastAsia="Times New Roman" w:cs="Calibri"/>
          <w:color w:val="auto"/>
          <w:sz w:val="24"/>
        </w:rPr>
        <w:t xml:space="preserve">ом </w:t>
      </w:r>
      <w:r>
        <w:rPr>
          <w:color w:val="auto"/>
          <w:sz w:val="24"/>
        </w:rPr>
        <w:t>портал</w:t>
      </w:r>
      <w:r>
        <w:rPr>
          <w:rFonts w:eastAsia="Times New Roman" w:cs="Calibri"/>
          <w:color w:val="auto"/>
          <w:sz w:val="24"/>
        </w:rPr>
        <w:t>е,</w:t>
      </w:r>
      <w:r>
        <w:rPr>
          <w:color w:val="auto"/>
          <w:sz w:val="24"/>
        </w:rPr>
        <w:t xml:space="preserve"> Региональном портале и портале адресной системы;</w:t>
      </w:r>
    </w:p>
    <w:p>
      <w:pPr>
        <w:pStyle w:val="Normal"/>
        <w:widowControl w:val="false"/>
        <w:shd w:fill="FFFFFF" w:val="clear"/>
        <w:rPr/>
      </w:pPr>
      <w:r>
        <w:rPr>
          <w:color w:val="auto"/>
          <w:sz w:val="24"/>
        </w:rPr>
        <w:t>б) осуществить предварительную запись на личный прием в МФЦ через официальный сайт МФЦ в информационно-телекоммуникационной сети Интернет (</w:t>
      </w:r>
      <w:hyperlink r:id="rId3">
        <w:r>
          <w:rPr>
            <w:rStyle w:val="Style21"/>
            <w:color w:val="auto"/>
            <w:sz w:val="24"/>
          </w:rPr>
          <w:t>www.mfcto.ru</w:t>
        </w:r>
      </w:hyperlink>
      <w:r>
        <w:rPr>
          <w:color w:val="auto"/>
          <w:sz w:val="24"/>
        </w:rPr>
        <w:t>);</w:t>
      </w:r>
    </w:p>
    <w:p>
      <w:pPr>
        <w:pStyle w:val="Normal"/>
        <w:widowControl w:val="false"/>
        <w:shd w:fill="FFFFFF" w:val="clear"/>
        <w:rPr/>
      </w:pPr>
      <w:r>
        <w:rPr>
          <w:color w:val="auto"/>
          <w:sz w:val="24"/>
        </w:rPr>
        <w:t xml:space="preserve">в) подать заявление в форме электронного документа с использованием «Личного кабинета» </w:t>
      </w:r>
      <w:r>
        <w:rPr>
          <w:rStyle w:val="FootnoteCharacters"/>
          <w:color w:val="auto"/>
          <w:sz w:val="24"/>
          <w:lang w:eastAsia="en-US"/>
        </w:rPr>
        <w:t>Единого портала,</w:t>
      </w:r>
      <w:r>
        <w:rPr>
          <w:color w:val="auto"/>
          <w:sz w:val="24"/>
        </w:rPr>
        <w:t xml:space="preserve"> Регионального портала, а также портала адресной системы посредством заполнения электронной формы заявления.</w:t>
      </w:r>
    </w:p>
    <w:p>
      <w:pPr>
        <w:pStyle w:val="Normal"/>
        <w:widowControl w:val="false"/>
        <w:shd w:fill="FFFFFF" w:val="clear"/>
        <w:rPr/>
      </w:pPr>
      <w:r>
        <w:rPr>
          <w:color w:val="auto"/>
          <w:sz w:val="24"/>
        </w:rPr>
        <w:t>г) получить сведения о ходе выполнения заявления, поданного в электронной форме;</w:t>
      </w:r>
    </w:p>
    <w:p>
      <w:pPr>
        <w:pStyle w:val="Normal"/>
        <w:widowControl w:val="false"/>
        <w:shd w:fill="FFFFFF" w:val="clear"/>
        <w:rPr/>
      </w:pPr>
      <w:r>
        <w:rPr>
          <w:color w:val="auto"/>
          <w:sz w:val="24"/>
        </w:rPr>
        <w:t xml:space="preserve">д) получить результат предоставления муниципальной услуги в форме электронного документа на </w:t>
      </w:r>
      <w:r>
        <w:rPr>
          <w:rStyle w:val="FootnoteCharacters"/>
          <w:color w:val="auto"/>
          <w:sz w:val="24"/>
          <w:lang w:eastAsia="en-US"/>
        </w:rPr>
        <w:t xml:space="preserve">Едином портале, </w:t>
      </w:r>
      <w:r>
        <w:rPr>
          <w:color w:val="auto"/>
          <w:sz w:val="24"/>
        </w:rPr>
        <w:t>Региональном портале;</w:t>
      </w:r>
    </w:p>
    <w:p>
      <w:pPr>
        <w:pStyle w:val="Normal"/>
        <w:widowControl w:val="false"/>
        <w:shd w:fill="FFFFFF" w:val="clear"/>
        <w:rPr/>
      </w:pPr>
      <w:r>
        <w:rPr>
          <w:rFonts w:eastAsia="Arial"/>
          <w:color w:val="auto"/>
          <w:sz w:val="24"/>
        </w:rPr>
        <w:t xml:space="preserve">е) подать жалобу на решение и действие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посредством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 также при помощи </w:t>
      </w:r>
      <w:r>
        <w:rPr>
          <w:rStyle w:val="FootnoteCharacters"/>
          <w:rFonts w:eastAsia="Arial"/>
          <w:color w:val="auto"/>
          <w:sz w:val="24"/>
          <w:lang w:eastAsia="en-US"/>
        </w:rPr>
        <w:t>Единого портала,</w:t>
      </w:r>
      <w:r>
        <w:rPr>
          <w:rFonts w:eastAsia="Arial"/>
          <w:color w:val="auto"/>
          <w:sz w:val="24"/>
        </w:rPr>
        <w:t xml:space="preserve"> Регионального портала, а также  портала адресной системы.</w:t>
      </w:r>
    </w:p>
    <w:p>
      <w:pPr>
        <w:pStyle w:val="Normal"/>
        <w:widowControl w:val="false"/>
        <w:shd w:fill="FFFFFF" w:val="clear"/>
        <w:rPr/>
      </w:pPr>
      <w:r>
        <w:rPr>
          <w:rFonts w:eastAsia="Arial"/>
          <w:color w:val="auto"/>
          <w:sz w:val="24"/>
        </w:rPr>
        <w:t xml:space="preserve">2.16.2. 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постановлением Правительства Российской Федерации от 01.03.2022 № 277 </w:t>
      </w:r>
      <w:r>
        <w:rPr>
          <w:rFonts w:eastAsia="Arial"/>
          <w:color w:val="000000"/>
          <w:sz w:val="24"/>
        </w:rPr>
        <w:t>«О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w:t>
      </w:r>
      <w:r>
        <w:rPr>
          <w:rFonts w:eastAsia="Times New Roman"/>
          <w:color w:val="000000"/>
          <w:sz w:val="24"/>
          <w:lang w:eastAsia="ru-RU"/>
        </w:rPr>
        <w:t xml:space="preserve"> </w:t>
      </w:r>
      <w:r>
        <w:rPr>
          <w:rFonts w:eastAsia="Arial"/>
          <w:color w:val="000000"/>
          <w:sz w:val="24"/>
        </w:rPr>
        <w:t>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r>
        <w:rPr>
          <w:rFonts w:eastAsia="Arial"/>
          <w:color w:val="auto"/>
          <w:sz w:val="24"/>
        </w:rPr>
        <w:t>.</w:t>
      </w:r>
    </w:p>
    <w:p>
      <w:pPr>
        <w:pStyle w:val="Normal"/>
        <w:widowControl w:val="false"/>
        <w:shd w:fill="FFFFFF" w:val="clear"/>
        <w:rPr>
          <w:sz w:val="24"/>
          <w:highlight w:val="green"/>
        </w:rPr>
      </w:pPr>
      <w:r>
        <w:rPr>
          <w:rFonts w:eastAsia="Arial"/>
          <w:color w:val="auto"/>
          <w:sz w:val="24"/>
        </w:rPr>
        <w:t>2.16.3. Иных требований, в том числе учитывающих случаи и порядок предоставления муниципальной услуги в упреждающем (проактивном) режиме</w:t>
      </w:r>
      <w:r>
        <w:rPr>
          <w:rFonts w:eastAsia="Arial"/>
          <w:b/>
          <w:bCs/>
          <w:color w:val="auto"/>
          <w:sz w:val="24"/>
        </w:rPr>
        <w:t>,</w:t>
      </w:r>
      <w:r>
        <w:rPr>
          <w:rFonts w:eastAsia="Arial"/>
          <w:color w:val="auto"/>
          <w:sz w:val="24"/>
        </w:rPr>
        <w:t xml:space="preserve"> особенности предоставления муниципальной услуг  в  МФЦ, не предусмотрено.</w:t>
      </w:r>
    </w:p>
    <w:p>
      <w:pPr>
        <w:pStyle w:val="Normal"/>
        <w:widowControl w:val="false"/>
        <w:shd w:fill="FFFFFF" w:val="clear"/>
        <w:rPr>
          <w:color w:val="auto"/>
          <w:sz w:val="24"/>
        </w:rPr>
      </w:pPr>
      <w:r>
        <w:rPr>
          <w:color w:val="auto"/>
          <w:sz w:val="24"/>
        </w:rPr>
      </w:r>
    </w:p>
    <w:p>
      <w:pPr>
        <w:pStyle w:val="Normal"/>
        <w:widowControl w:val="false"/>
        <w:shd w:fill="FFFFFF" w:val="clear"/>
        <w:ind w:hanging="0"/>
        <w:jc w:val="center"/>
        <w:rPr>
          <w:b/>
          <w:b/>
          <w:bCs/>
          <w:color w:val="auto"/>
          <w:sz w:val="24"/>
        </w:rPr>
      </w:pPr>
      <w:r>
        <w:rPr>
          <w:b/>
          <w:bCs/>
          <w:color w:val="auto"/>
          <w:sz w:val="24"/>
        </w:rPr>
        <w:t>III. Состав, последовательность и сроки выполнения</w:t>
      </w:r>
    </w:p>
    <w:p>
      <w:pPr>
        <w:pStyle w:val="Normal"/>
        <w:widowControl w:val="false"/>
        <w:shd w:fill="FFFFFF" w:val="clear"/>
        <w:jc w:val="center"/>
        <w:rPr/>
      </w:pPr>
      <w:r>
        <w:rPr>
          <w:b/>
          <w:bCs/>
          <w:color w:val="auto"/>
          <w:sz w:val="24"/>
        </w:rPr>
        <w:t xml:space="preserve">административных процедур, требования к порядку их выполнения, в том числе особенности выполнения административных процедур в электронной форме, </w:t>
      </w:r>
      <w:r>
        <w:rPr>
          <w:rFonts w:eastAsia="Arial"/>
          <w:b/>
          <w:bCs/>
          <w:color w:val="auto"/>
          <w:sz w:val="24"/>
        </w:rPr>
        <w:t>а также особенности выполнения административных процедур в МФЦ</w:t>
      </w:r>
    </w:p>
    <w:p>
      <w:pPr>
        <w:pStyle w:val="Normal"/>
        <w:widowControl w:val="false"/>
        <w:shd w:fill="FFFFFF" w:val="clear"/>
        <w:jc w:val="center"/>
        <w:rPr>
          <w:b/>
          <w:b/>
          <w:bCs/>
          <w:color w:val="auto"/>
          <w:sz w:val="24"/>
        </w:rPr>
      </w:pPr>
      <w:r>
        <w:rPr>
          <w:b/>
          <w:bCs/>
          <w:color w:val="auto"/>
          <w:sz w:val="24"/>
        </w:rPr>
      </w:r>
    </w:p>
    <w:p>
      <w:pPr>
        <w:pStyle w:val="Normal"/>
        <w:widowControl w:val="false"/>
        <w:shd w:fill="FFFFFF" w:val="clear"/>
        <w:jc w:val="center"/>
        <w:rPr/>
      </w:pPr>
      <w:r>
        <w:rPr>
          <w:b/>
          <w:bCs/>
          <w:color w:val="auto"/>
          <w:sz w:val="24"/>
        </w:rPr>
        <w:t>3.1. Перечень и особенности исполнения административных процедур</w:t>
      </w:r>
    </w:p>
    <w:p>
      <w:pPr>
        <w:pStyle w:val="Normal"/>
        <w:widowControl w:val="false"/>
        <w:shd w:fill="FFFFFF" w:val="clear"/>
        <w:rPr/>
      </w:pPr>
      <w:r>
        <w:rPr>
          <w:color w:val="auto"/>
          <w:sz w:val="24"/>
        </w:rPr>
        <w:t>3.1.1. Предоставление муниципальной услуги включает в себя следующие административные процедуры:</w:t>
      </w:r>
    </w:p>
    <w:p>
      <w:pPr>
        <w:pStyle w:val="Normal"/>
        <w:widowControl w:val="false"/>
        <w:shd w:fill="FFFFFF" w:val="clear"/>
        <w:rPr/>
      </w:pPr>
      <w:r>
        <w:rPr>
          <w:color w:val="auto"/>
          <w:sz w:val="24"/>
        </w:rPr>
        <w:t>а) прием и регистрация заявления о предоставлении муниципальной услуги и документов, необходимых для предоставления муниципальной услуги;</w:t>
      </w:r>
    </w:p>
    <w:p>
      <w:pPr>
        <w:pStyle w:val="Normal"/>
        <w:widowControl w:val="false"/>
        <w:shd w:fill="FFFFFF" w:val="clear"/>
        <w:rPr/>
      </w:pPr>
      <w:r>
        <w:rPr>
          <w:color w:val="auto"/>
          <w:sz w:val="24"/>
        </w:rPr>
        <w:t>б) рассмотрение заявления и документов, направление (выдача) результата предоставления муниципальной услуги;</w:t>
      </w:r>
    </w:p>
    <w:p>
      <w:pPr>
        <w:pStyle w:val="Normal"/>
        <w:widowControl w:val="false"/>
        <w:shd w:fill="FFFFFF" w:val="clear"/>
        <w:rPr/>
      </w:pPr>
      <w:r>
        <w:rPr>
          <w:color w:val="auto"/>
          <w:sz w:val="24"/>
        </w:rPr>
        <w:t>в) исправление допущенных опечаток и ошибок в выданных в результате предоставления муниципальной услуги документах.</w:t>
      </w:r>
    </w:p>
    <w:p>
      <w:pPr>
        <w:pStyle w:val="Normal"/>
        <w:widowControl w:val="false"/>
        <w:shd w:fill="FFFFFF" w:val="clear"/>
        <w:rPr/>
      </w:pPr>
      <w:r>
        <w:rPr>
          <w:color w:val="auto"/>
          <w:sz w:val="24"/>
        </w:rPr>
        <w:t>Доступ заявителей к сведениям о муниципальной услуге, возможность получения сведений о ходе рассмотрения заявления, взаимодействие органа, предоставляющего муниципальную услугу, с организациями, участвующими в предоставлении муниципальной услуги, обеспечиваются посредством Единого портала, Регионального портала.</w:t>
      </w:r>
    </w:p>
    <w:p>
      <w:pPr>
        <w:pStyle w:val="Normal"/>
        <w:widowControl w:val="false"/>
        <w:shd w:fill="FFFFFF" w:val="clear"/>
        <w:rPr/>
      </w:pPr>
      <w:r>
        <w:rPr>
          <w:color w:val="auto"/>
          <w:sz w:val="24"/>
        </w:rPr>
        <w:t xml:space="preserve">Получение заявителем результата предоставления муниципальной услуги (по выбору заявителя), иные действия, необходимые для получения муниципальной услуги в электронной форме, обеспечиваются посредством </w:t>
      </w:r>
      <w:r>
        <w:rPr>
          <w:rStyle w:val="FootnoteCharacters"/>
          <w:color w:val="auto"/>
          <w:sz w:val="24"/>
          <w:lang w:eastAsia="en-US"/>
        </w:rPr>
        <w:t>Единого портала</w:t>
      </w:r>
      <w:r>
        <w:rPr>
          <w:color w:val="auto"/>
          <w:sz w:val="24"/>
        </w:rPr>
        <w:t>, Регионального портала, портала адресной системы.</w:t>
      </w:r>
    </w:p>
    <w:p>
      <w:pPr>
        <w:pStyle w:val="Normal"/>
        <w:widowControl w:val="false"/>
        <w:shd w:fill="FFFFFF" w:val="clear"/>
        <w:rPr/>
      </w:pPr>
      <w:r>
        <w:rPr>
          <w:color w:val="auto"/>
          <w:sz w:val="24"/>
        </w:rPr>
        <w:t>3.1.2. Особенности выполнения отдельных административных процедур в МФЦ.</w:t>
      </w:r>
    </w:p>
    <w:p>
      <w:pPr>
        <w:pStyle w:val="Normal"/>
        <w:widowControl w:val="false"/>
        <w:shd w:fill="FFFFFF" w:val="clear"/>
        <w:rPr/>
      </w:pPr>
      <w:r>
        <w:rPr>
          <w:color w:val="auto"/>
          <w:sz w:val="24"/>
        </w:rPr>
        <w:t>3.1.2.1. При предоставлении муниципальной услуги в МФЦ заявитель (представитель заявителя) вправе:</w:t>
      </w:r>
    </w:p>
    <w:p>
      <w:pPr>
        <w:pStyle w:val="Normal"/>
        <w:widowControl w:val="false"/>
        <w:shd w:fill="FFFFFF" w:val="clear"/>
        <w:rPr/>
      </w:pPr>
      <w:r>
        <w:rPr>
          <w:color w:val="auto"/>
          <w:sz w:val="24"/>
        </w:rPr>
        <w:t>а) получать информацию о порядке предоставления муниципальной услуги в МФЦ, о ходе рассмотрения заявления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муниципальной услуги, а также имеет право на консультирование о порядке предоставления муниципальной услуги в МФЦ;</w:t>
      </w:r>
    </w:p>
    <w:p>
      <w:pPr>
        <w:pStyle w:val="Style28"/>
        <w:shd w:fill="FFFFFF" w:val="clear"/>
        <w:spacing w:lineRule="auto" w:line="240" w:before="0" w:after="0"/>
        <w:rPr>
          <w:color w:val="auto"/>
          <w:sz w:val="24"/>
        </w:rPr>
      </w:pPr>
      <w:r>
        <w:rPr>
          <w:color w:val="auto"/>
          <w:sz w:val="24"/>
        </w:rPr>
        <w:t>б) осуществить предварительную запись на прием в МФЦ для подачи документов и для получения результата муниципальной услуги, в том числе в случае подачи заявления в электронном виде и если заявитель выбрал способ получения результата муниципальной услуги в МФЦ. Запись на прием в МФЦ осуществляется через официальный сайт МФЦ в информационно-телекоммуникационной сети «Интернет» (www.mfcto.ru).</w:t>
      </w:r>
    </w:p>
    <w:p>
      <w:pPr>
        <w:pStyle w:val="Style28"/>
        <w:widowControl w:val="false"/>
        <w:shd w:fill="FFFFFF" w:val="clear"/>
        <w:spacing w:lineRule="auto" w:line="240" w:before="0" w:after="0"/>
        <w:rPr>
          <w:i/>
          <w:i/>
          <w:iCs/>
          <w:color w:val="000000"/>
          <w:sz w:val="24"/>
        </w:rPr>
      </w:pPr>
      <w:r>
        <w:rPr>
          <w:iCs/>
          <w:color w:val="auto"/>
          <w:sz w:val="24"/>
        </w:rPr>
        <w:t>3.1.2.2. Административные процедуры, предусмотренные пунктом 3.1.2.1 Регламента, выполняются в соответствии с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Стандартом обслуживания заявителей в Государственном автономном учреждении Тюменской области «Многофункциональный центр предоставления государственных и муниципальных услуг в Тюменской области», утвержденным</w:t>
      </w:r>
      <w:r>
        <w:rPr>
          <w:b/>
          <w:bCs/>
          <w:iCs/>
          <w:color w:val="auto"/>
          <w:sz w:val="24"/>
        </w:rPr>
        <w:t xml:space="preserve"> </w:t>
      </w:r>
      <w:r>
        <w:rPr>
          <w:iCs/>
          <w:color w:val="auto"/>
          <w:sz w:val="24"/>
        </w:rPr>
        <w:t xml:space="preserve">постановлением Правительства Тюменской области от 08.12.2017 № 610-п. </w:t>
      </w:r>
    </w:p>
    <w:p>
      <w:pPr>
        <w:pStyle w:val="Normal"/>
        <w:widowControl w:val="false"/>
        <w:shd w:fill="FFFFFF" w:val="clear"/>
        <w:rPr>
          <w:b/>
          <w:b/>
          <w:bCs/>
          <w:sz w:val="24"/>
          <w:highlight w:val="yellow"/>
        </w:rPr>
      </w:pPr>
      <w:r>
        <w:rPr>
          <w:color w:val="auto"/>
          <w:sz w:val="24"/>
        </w:rPr>
        <w:t>3.1.3. Особенности предоставления муниципальной услуги в электронной форме.</w:t>
      </w:r>
    </w:p>
    <w:p>
      <w:pPr>
        <w:pStyle w:val="Normal"/>
        <w:widowControl w:val="false"/>
        <w:shd w:fill="FFFFFF" w:val="clear"/>
        <w:rPr/>
      </w:pPr>
      <w:r>
        <w:rPr>
          <w:color w:val="auto"/>
          <w:sz w:val="24"/>
        </w:rPr>
        <w:t xml:space="preserve">3.1.3.1. Формирование электронного заявления осуществляется посредством заполнения электронной формы заявления на </w:t>
      </w:r>
      <w:r>
        <w:rPr>
          <w:color w:val="auto"/>
          <w:sz w:val="24"/>
          <w:lang w:eastAsia="en-US"/>
        </w:rPr>
        <w:t>Едином портале</w:t>
      </w:r>
      <w:r>
        <w:rPr>
          <w:color w:val="auto"/>
          <w:sz w:val="24"/>
        </w:rPr>
        <w:t>, Региональном портале без необходимости дополнительной подачи заявления в какой-либо иной форме.</w:t>
      </w:r>
    </w:p>
    <w:p>
      <w:pPr>
        <w:pStyle w:val="Normal"/>
        <w:widowControl w:val="false"/>
        <w:shd w:fill="FFFFFF" w:val="clear"/>
        <w:rPr/>
      </w:pPr>
      <w:r>
        <w:rPr>
          <w:color w:val="auto"/>
          <w:sz w:val="24"/>
        </w:rPr>
        <w:t>3.1.3.2. Форматно-логическая проверка сформированного заявления осуществляется после заполнения заявителем (представителем заявителя) каждого из полей электронной формы заявления. При выявлении некорректно заполненного поля электронной формы заявления заявитель (представителем заявителя)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Normal"/>
        <w:widowControl w:val="false"/>
        <w:shd w:fill="FFFFFF" w:val="clear"/>
        <w:rPr/>
      </w:pPr>
      <w:r>
        <w:rPr>
          <w:color w:val="auto"/>
          <w:sz w:val="24"/>
        </w:rPr>
        <w:t>3.1.3.3. При формировании заявления заявителю (представителем заявителя) обеспечивается:</w:t>
      </w:r>
    </w:p>
    <w:p>
      <w:pPr>
        <w:pStyle w:val="Normal"/>
        <w:widowControl w:val="false"/>
        <w:shd w:fill="FFFFFF" w:val="clear"/>
        <w:rPr/>
      </w:pPr>
      <w:r>
        <w:rPr>
          <w:color w:val="auto"/>
          <w:sz w:val="24"/>
        </w:rPr>
        <w:t>а) возможность копирования и сохранения заявления и иных необходимых для предоставления услуги документов;</w:t>
      </w:r>
    </w:p>
    <w:p>
      <w:pPr>
        <w:pStyle w:val="Normal"/>
        <w:widowControl w:val="false"/>
        <w:shd w:fill="FFFFFF" w:val="clear"/>
        <w:rPr/>
      </w:pPr>
      <w:r>
        <w:rPr>
          <w:color w:val="auto"/>
          <w:sz w:val="24"/>
        </w:rPr>
        <w:t>б) возможность печати на бумажном носителе копии электронной формы заявления;</w:t>
      </w:r>
    </w:p>
    <w:p>
      <w:pPr>
        <w:pStyle w:val="Normal"/>
        <w:widowControl w:val="false"/>
        <w:shd w:fill="FFFFFF" w:val="clear"/>
        <w:rPr/>
      </w:pPr>
      <w:r>
        <w:rPr>
          <w:color w:val="auto"/>
          <w:sz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pPr>
        <w:pStyle w:val="Normal"/>
        <w:widowControl w:val="false"/>
        <w:shd w:fill="FFFFFF" w:val="clear"/>
        <w:rPr/>
      </w:pPr>
      <w:r>
        <w:rPr>
          <w:color w:val="auto"/>
          <w:sz w:val="24"/>
        </w:rPr>
        <w:t xml:space="preserve">г) заполнение полей электронной формы заявления до начала ввода сведений заявителем (представителем заявителя)  с использованием сведений, размещенных в ЕСИА, и сведений, опубликованных на </w:t>
      </w:r>
      <w:r>
        <w:rPr>
          <w:color w:val="auto"/>
          <w:sz w:val="24"/>
          <w:lang w:eastAsia="en-US"/>
        </w:rPr>
        <w:t>Едином портале</w:t>
      </w:r>
      <w:r>
        <w:rPr>
          <w:color w:val="auto"/>
          <w:sz w:val="24"/>
        </w:rPr>
        <w:t>, Региональном портале,  в части, касающейся сведений, отсутствующих в ЕСИА;</w:t>
      </w:r>
    </w:p>
    <w:p>
      <w:pPr>
        <w:pStyle w:val="Normal"/>
        <w:widowControl w:val="false"/>
        <w:shd w:fill="FFFFFF" w:val="clear"/>
        <w:rPr/>
      </w:pPr>
      <w:r>
        <w:rPr>
          <w:color w:val="auto"/>
          <w:sz w:val="24"/>
        </w:rPr>
        <w:t>д) возможность вернуться на любой из этапов заполнения электронной формы заявления без потери ранее введенной информации;</w:t>
      </w:r>
    </w:p>
    <w:p>
      <w:pPr>
        <w:pStyle w:val="Normal"/>
        <w:widowControl w:val="false"/>
        <w:shd w:fill="FFFFFF" w:val="clear"/>
        <w:rPr/>
      </w:pPr>
      <w:r>
        <w:rPr>
          <w:color w:val="auto"/>
          <w:sz w:val="24"/>
        </w:rPr>
        <w:t xml:space="preserve">е) возможность доступа заявителя (представителем заявителя) </w:t>
      </w:r>
      <w:r>
        <w:rPr>
          <w:color w:val="auto"/>
          <w:sz w:val="24"/>
          <w:lang w:eastAsia="en-US"/>
        </w:rPr>
        <w:t>к</w:t>
      </w:r>
      <w:r>
        <w:rPr>
          <w:color w:val="auto"/>
          <w:sz w:val="24"/>
        </w:rPr>
        <w:t xml:space="preserve"> заявлениям, поданным им ранее в течение не менее одного года, а также к частично сформированным уведомлениям в течение не менее 3 месяцев. </w:t>
      </w:r>
    </w:p>
    <w:p>
      <w:pPr>
        <w:pStyle w:val="Normal"/>
        <w:widowControl w:val="false"/>
        <w:shd w:fill="FFFFFF" w:val="clear"/>
        <w:rPr/>
      </w:pPr>
      <w:r>
        <w:rPr>
          <w:color w:val="auto"/>
          <w:sz w:val="24"/>
        </w:rPr>
        <w:t xml:space="preserve">3.1.3.4. Сформированное и подписанное заявление и иные документы, необходимые для предоставления услуги, направляются в </w:t>
      </w:r>
      <w:r>
        <w:rPr>
          <w:color w:val="auto"/>
          <w:sz w:val="24"/>
          <w:lang w:eastAsia="en-US"/>
        </w:rPr>
        <w:t>Администрацию</w:t>
      </w:r>
      <w:r>
        <w:rPr>
          <w:color w:val="auto"/>
          <w:sz w:val="24"/>
        </w:rPr>
        <w:t xml:space="preserve"> </w:t>
      </w:r>
      <w:r>
        <w:rPr>
          <w:color w:val="auto"/>
          <w:sz w:val="24"/>
          <w:lang w:eastAsia="en-US"/>
        </w:rPr>
        <w:t>в электронной форме.</w:t>
      </w:r>
    </w:p>
    <w:p>
      <w:pPr>
        <w:pStyle w:val="Normal"/>
        <w:shd w:fill="FFFFFF" w:val="clear"/>
        <w:ind w:firstLine="567"/>
        <w:rPr>
          <w:color w:val="auto"/>
          <w:sz w:val="24"/>
        </w:rPr>
      </w:pPr>
      <w:r>
        <w:rPr>
          <w:color w:val="auto"/>
          <w:sz w:val="24"/>
        </w:rPr>
        <w:tab/>
        <w:t>3.1.3.5. Заявление становится доступным для сотрудника Управления, ответственного за прием и регистрацию заявления, в государственной информационной системе, используемой Администрацией для предоставления услуги.</w:t>
      </w:r>
    </w:p>
    <w:p>
      <w:pPr>
        <w:pStyle w:val="Normal"/>
        <w:rPr>
          <w:color w:val="auto"/>
          <w:sz w:val="24"/>
        </w:rPr>
      </w:pPr>
      <w:r>
        <w:rPr>
          <w:color w:val="auto"/>
          <w:sz w:val="24"/>
        </w:rPr>
        <w:t>Сотрудник Управления:</w:t>
      </w:r>
    </w:p>
    <w:p>
      <w:pPr>
        <w:pStyle w:val="Normal"/>
        <w:rPr/>
      </w:pPr>
      <w:r>
        <w:rPr>
          <w:color w:val="auto"/>
          <w:sz w:val="24"/>
        </w:rPr>
        <w:t>а) рассматривает поступившие заявления и документы;</w:t>
      </w:r>
    </w:p>
    <w:p>
      <w:pPr>
        <w:pStyle w:val="Normal"/>
        <w:rPr/>
      </w:pPr>
      <w:r>
        <w:rPr>
          <w:color w:val="auto"/>
          <w:sz w:val="24"/>
        </w:rPr>
        <w:t>б) производит действия в соответствии с пунктом 3.2.3 Регламента.</w:t>
      </w:r>
    </w:p>
    <w:p>
      <w:pPr>
        <w:pStyle w:val="Style28"/>
        <w:shd w:fill="FFFFFF" w:val="clear"/>
        <w:spacing w:lineRule="auto" w:line="240" w:before="0" w:after="0"/>
        <w:rPr>
          <w:color w:val="auto"/>
          <w:sz w:val="24"/>
        </w:rPr>
      </w:pPr>
      <w:r>
        <w:rPr>
          <w:color w:val="auto"/>
          <w:sz w:val="24"/>
        </w:rPr>
        <w:t>3.1.3.6. Заявителю (представителю заявителя) в качестве результата предоставления услуги обеспечивается возможность получения документа:</w:t>
      </w:r>
    </w:p>
    <w:p>
      <w:pPr>
        <w:pStyle w:val="Style28"/>
        <w:shd w:fill="FFFFFF" w:val="clear"/>
        <w:spacing w:lineRule="auto" w:line="240" w:before="0" w:after="0"/>
        <w:rPr/>
      </w:pPr>
      <w:r>
        <w:rPr>
          <w:color w:val="auto"/>
          <w:sz w:val="24"/>
        </w:rPr>
        <w:t xml:space="preserve">а) в форме электронного документа, подписанного усиленной квалифицированной подписью уполномоченного должностного лица, направленного заявителю (представителю заявителя) посредством </w:t>
      </w:r>
      <w:r>
        <w:rPr>
          <w:rStyle w:val="FootnoteCharacters"/>
          <w:color w:val="auto"/>
          <w:sz w:val="24"/>
          <w:lang w:eastAsia="en-US"/>
        </w:rPr>
        <w:t>Единого портала</w:t>
      </w:r>
      <w:r>
        <w:rPr>
          <w:color w:val="auto"/>
          <w:sz w:val="24"/>
        </w:rPr>
        <w:t>, Регионального портала и портала адресной системы;</w:t>
      </w:r>
    </w:p>
    <w:p>
      <w:pPr>
        <w:pStyle w:val="Style28"/>
        <w:widowControl w:val="false"/>
        <w:shd w:fill="FFFFFF" w:val="clear"/>
        <w:spacing w:lineRule="auto" w:line="240" w:before="0" w:after="0"/>
        <w:rPr/>
      </w:pPr>
      <w:r>
        <w:rPr>
          <w:color w:val="auto"/>
          <w:sz w:val="24"/>
        </w:rPr>
        <w:t>б) в форме бумажного документа, подтверждающего содержание электронного документа, который заявитель (представитель заявителя) получает при личном обращении в МФЦ.</w:t>
      </w:r>
    </w:p>
    <w:p>
      <w:pPr>
        <w:pStyle w:val="Normal"/>
        <w:widowControl w:val="false"/>
        <w:shd w:fill="FFFFFF" w:val="clear"/>
        <w:ind w:firstLine="567"/>
        <w:rPr/>
      </w:pPr>
      <w:r>
        <w:rPr>
          <w:color w:val="auto"/>
          <w:sz w:val="24"/>
        </w:rPr>
        <w:tab/>
        <w:t xml:space="preserve">3.1.3.7. Получение информации о ходе рассмотрения заявления и о результате предоставления муниципальной услуги производится в личном кабинете на </w:t>
      </w:r>
      <w:r>
        <w:rPr>
          <w:color w:val="auto"/>
          <w:sz w:val="24"/>
          <w:lang w:eastAsia="en-US"/>
        </w:rPr>
        <w:t>Едином портале</w:t>
      </w:r>
      <w:r>
        <w:rPr>
          <w:color w:val="auto"/>
          <w:sz w:val="24"/>
        </w:rPr>
        <w:t xml:space="preserve">, Региональном портале при условии авторизации. Заявитель (представитель заявителя) имеет возможность просматривать статус </w:t>
      </w:r>
      <w:r>
        <w:rPr>
          <w:strike/>
          <w:color w:val="auto"/>
          <w:sz w:val="24"/>
        </w:rPr>
        <w:t>з</w:t>
      </w:r>
      <w:r>
        <w:rPr>
          <w:color w:val="auto"/>
          <w:sz w:val="24"/>
        </w:rPr>
        <w:t>аявления, а также информацию о дальнейших действиях в личном кабинете по собственной инициативе, в любое время.</w:t>
      </w:r>
    </w:p>
    <w:p>
      <w:pPr>
        <w:pStyle w:val="Normal"/>
        <w:widowControl w:val="false"/>
        <w:shd w:fill="FFFFFF" w:val="clear"/>
        <w:rPr/>
      </w:pPr>
      <w:r>
        <w:rPr>
          <w:color w:val="auto"/>
          <w:sz w:val="24"/>
        </w:rPr>
        <w:t>3.1.3.8. При предоставлении муниципальной услуги в электронной форме заявителю (представителю заявителя) направляется:</w:t>
      </w:r>
    </w:p>
    <w:p>
      <w:pPr>
        <w:pStyle w:val="Normal"/>
        <w:widowControl w:val="false"/>
        <w:shd w:fill="FFFFFF" w:val="clear"/>
        <w:rPr/>
      </w:pPr>
      <w:r>
        <w:rPr>
          <w:color w:val="auto"/>
          <w:sz w:val="24"/>
        </w:rPr>
        <w:t>а) уведомление о приеме и регистрации заявления и документов, содержащее сведения о факте приема заявления и документов,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pPr>
        <w:pStyle w:val="Normal"/>
        <w:widowControl w:val="false"/>
        <w:shd w:fill="FFFFFF" w:val="clear"/>
        <w:rPr/>
      </w:pPr>
      <w:r>
        <w:rPr>
          <w:bCs/>
          <w:color w:val="auto"/>
          <w:sz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pPr>
        <w:pStyle w:val="Normal"/>
        <w:widowControl w:val="false"/>
        <w:shd w:fill="FFFFFF" w:val="clear"/>
        <w:rPr>
          <w:bCs/>
          <w:color w:val="auto"/>
          <w:sz w:val="24"/>
        </w:rPr>
      </w:pPr>
      <w:r>
        <w:rPr>
          <w:bCs/>
          <w:color w:val="auto"/>
          <w:sz w:val="24"/>
        </w:rPr>
      </w:r>
    </w:p>
    <w:p>
      <w:pPr>
        <w:pStyle w:val="Normal"/>
        <w:widowControl w:val="false"/>
        <w:shd w:fill="FFFFFF" w:val="clear"/>
        <w:rPr/>
      </w:pPr>
      <w:r>
        <w:rPr>
          <w:b/>
          <w:bCs/>
          <w:color w:val="auto"/>
          <w:sz w:val="24"/>
        </w:rPr>
        <w:t>3.2. Прием и регистрация заявления и документов, необходимых для предоставления муниципальной услуги</w:t>
      </w:r>
    </w:p>
    <w:p>
      <w:pPr>
        <w:pStyle w:val="Normal"/>
        <w:widowControl w:val="false"/>
        <w:shd w:fill="FFFFFF" w:val="clear"/>
        <w:rPr/>
      </w:pPr>
      <w:r>
        <w:rPr>
          <w:color w:val="auto"/>
          <w:sz w:val="24"/>
        </w:rPr>
        <w:t>3.2.1. Основанием для начала административной процедуры является  направление</w:t>
      </w:r>
      <w:r>
        <w:rPr>
          <w:b/>
          <w:bCs/>
          <w:color w:val="auto"/>
          <w:sz w:val="24"/>
        </w:rPr>
        <w:t xml:space="preserve"> </w:t>
      </w:r>
      <w:r>
        <w:rPr>
          <w:color w:val="auto"/>
          <w:sz w:val="24"/>
        </w:rPr>
        <w:t>заявителем (представителем заявителя) заявления и иных документов, указанных в пункте 2.6.1 Регламента, в Администрацию</w:t>
      </w:r>
      <w:r>
        <w:rPr>
          <w:color w:val="auto"/>
          <w:sz w:val="24"/>
          <w:lang w:eastAsia="ru-RU"/>
        </w:rPr>
        <w:t xml:space="preserve"> на бумажном носителе посредством почтового отправления с описью вложения и уведомлением о вручении или в форме электронного документа с использованием </w:t>
      </w:r>
      <w:r>
        <w:rPr>
          <w:rStyle w:val="FootnoteCharacters"/>
          <w:color w:val="auto"/>
          <w:sz w:val="24"/>
          <w:lang w:eastAsia="en-US"/>
        </w:rPr>
        <w:t xml:space="preserve">Единого портала, </w:t>
      </w:r>
      <w:r>
        <w:rPr>
          <w:color w:val="auto"/>
          <w:sz w:val="24"/>
          <w:lang w:eastAsia="ru-RU"/>
        </w:rPr>
        <w:t>Регионального портала, а также портала адресной системы</w:t>
      </w:r>
      <w:r>
        <w:rPr>
          <w:b/>
          <w:bCs/>
          <w:color w:val="auto"/>
          <w:sz w:val="24"/>
          <w:lang w:eastAsia="ru-RU"/>
        </w:rPr>
        <w:t>,</w:t>
      </w:r>
      <w:r>
        <w:rPr>
          <w:color w:val="auto"/>
          <w:sz w:val="24"/>
          <w:lang w:eastAsia="ru-RU"/>
        </w:rPr>
        <w:t xml:space="preserve"> либо предоставление на бумажном носителе заявления и иных документов, указанных в пункте 2.6.1 Регламента, в МФЦ в ходе личного приема.</w:t>
      </w:r>
    </w:p>
    <w:p>
      <w:pPr>
        <w:pStyle w:val="Normal"/>
        <w:widowControl w:val="false"/>
        <w:shd w:fill="FFFFFF" w:val="clear"/>
        <w:rPr/>
      </w:pPr>
      <w:r>
        <w:rPr>
          <w:color w:val="auto"/>
          <w:sz w:val="24"/>
        </w:rPr>
        <w:t>3.2.2. В ходе личного приема заявителя (представителя заявителя), сотрудник  МФЦ:</w:t>
      </w:r>
    </w:p>
    <w:p>
      <w:pPr>
        <w:pStyle w:val="Normal"/>
        <w:widowControl w:val="false"/>
        <w:shd w:fill="FFFFFF" w:val="clear"/>
        <w:rPr/>
      </w:pPr>
      <w:r>
        <w:rPr>
          <w:color w:val="auto"/>
          <w:sz w:val="24"/>
        </w:rPr>
        <w:t xml:space="preserve">а) устанавливает личность обратившегося способами, предусмотренными Федеральным законом от 27.07.2010 № 210-ФЗ «Об организации предоставления государственных и муниципальных услуг»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 </w:t>
      </w:r>
    </w:p>
    <w:p>
      <w:pPr>
        <w:pStyle w:val="Normal"/>
        <w:widowControl w:val="false"/>
        <w:shd w:fill="FFFFFF" w:val="clear"/>
        <w:rPr>
          <w:color w:val="auto"/>
          <w:sz w:val="24"/>
        </w:rPr>
      </w:pPr>
      <w:r>
        <w:rPr>
          <w:color w:val="auto"/>
          <w:sz w:val="24"/>
        </w:rPr>
        <w:t>б) информирует заявителя (представителя заявителя) о порядке и сроках предоставления муниципальной услуги;</w:t>
      </w:r>
    </w:p>
    <w:p>
      <w:pPr>
        <w:pStyle w:val="Normal"/>
        <w:widowControl w:val="false"/>
        <w:shd w:fill="FFFFFF" w:val="clear"/>
        <w:rPr>
          <w:color w:val="auto"/>
          <w:sz w:val="24"/>
        </w:rPr>
      </w:pPr>
      <w:r>
        <w:rPr>
          <w:color w:val="auto"/>
          <w:sz w:val="24"/>
        </w:rPr>
        <w:t>в) обеспечивает заполнение заявления, после этого предлагает заявителю (представителю заявителя) убедиться в правильности заполнения заявления, в том числе полнот</w:t>
      </w:r>
      <w:r>
        <w:rPr>
          <w:strike/>
          <w:color w:val="auto"/>
          <w:sz w:val="24"/>
        </w:rPr>
        <w:t>е</w:t>
      </w:r>
      <w:r>
        <w:rPr>
          <w:color w:val="auto"/>
          <w:sz w:val="24"/>
        </w:rPr>
        <w:t xml:space="preserve"> внесенных данных, проверяет наличие документов, которые в соответствии с пунктом 2.6.1 Регламента должны прилагаться к заявлению в обязательном порядке;</w:t>
      </w:r>
    </w:p>
    <w:p>
      <w:pPr>
        <w:pStyle w:val="Normal"/>
        <w:widowControl w:val="false"/>
        <w:shd w:fill="FFFFFF" w:val="clear"/>
        <w:rPr/>
      </w:pPr>
      <w:r>
        <w:rPr>
          <w:color w:val="auto"/>
          <w:sz w:val="24"/>
        </w:rPr>
        <w:t xml:space="preserve">г) </w:t>
      </w:r>
      <w:r>
        <w:rPr>
          <w:rFonts w:eastAsia="Arial"/>
          <w:color w:val="auto"/>
          <w:sz w:val="24"/>
        </w:rPr>
        <w:t xml:space="preserve">обеспечивает изготовление копий с представленных заявителем (представителем заявителя) </w:t>
      </w:r>
      <w:r>
        <w:rPr>
          <w:rFonts w:eastAsia="Arial"/>
          <w:color w:val="auto"/>
          <w:sz w:val="24"/>
          <w:lang w:eastAsia="en-US"/>
        </w:rPr>
        <w:t>оригиналов</w:t>
      </w:r>
      <w:r>
        <w:rPr>
          <w:rFonts w:eastAsia="Arial"/>
          <w:color w:val="auto"/>
          <w:sz w:val="24"/>
        </w:rPr>
        <w:t xml:space="preserve"> документов, предусмотренных пунктами  3, 3.1, </w:t>
      </w:r>
      <w:r>
        <w:rPr>
          <w:rFonts w:eastAsia="Arial"/>
          <w:color w:val="auto"/>
          <w:sz w:val="24"/>
          <w:lang w:eastAsia="en-US"/>
        </w:rPr>
        <w:t>13</w:t>
      </w:r>
      <w:r>
        <w:rPr>
          <w:rFonts w:eastAsia="Arial"/>
          <w:color w:val="auto"/>
          <w:sz w:val="24"/>
        </w:rPr>
        <w:t xml:space="preserve">, </w:t>
      </w:r>
      <w:r>
        <w:rPr>
          <w:rFonts w:eastAsia="Arial"/>
          <w:color w:val="auto"/>
          <w:sz w:val="24"/>
          <w:lang w:eastAsia="en-US"/>
        </w:rPr>
        <w:t>15</w:t>
      </w:r>
      <w:r>
        <w:rPr>
          <w:rFonts w:eastAsia="Arial"/>
          <w:color w:val="auto"/>
          <w:sz w:val="24"/>
        </w:rPr>
        <w:t xml:space="preserve"> части 6 статьи 7 Федерального закона от 27.07.2010 № 210-ФЗ «Об организации предоставления государственных и муниципальных услуг» обеспечивает изготовление копий с представленных заявителем (представителем заявителя) подлинников документов.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pPr>
        <w:pStyle w:val="Normal"/>
        <w:widowControl w:val="false"/>
        <w:shd w:fill="FFFFFF" w:val="clear"/>
        <w:ind w:firstLine="680"/>
        <w:rPr/>
      </w:pPr>
      <w:r>
        <w:rPr>
          <w:color w:val="auto"/>
          <w:sz w:val="24"/>
        </w:rPr>
        <w:t xml:space="preserve">д) обеспечивает регистрацию заявления в </w:t>
      </w:r>
      <w:r>
        <w:rPr>
          <w:sz w:val="24"/>
        </w:rPr>
        <w:t>системе документооборота, установленной в МФЦ</w:t>
      </w:r>
      <w:r>
        <w:rPr>
          <w:color w:val="auto"/>
          <w:sz w:val="24"/>
        </w:rPr>
        <w:t>,</w:t>
      </w:r>
      <w:r>
        <w:rPr>
          <w:color w:val="auto"/>
          <w:position w:val="8"/>
          <w:sz w:val="24"/>
        </w:rPr>
        <w:t xml:space="preserve"> </w:t>
      </w:r>
      <w:r>
        <w:rPr>
          <w:color w:val="auto"/>
          <w:sz w:val="24"/>
        </w:rPr>
        <w:t>а также выдачу заявителю под личную подпись расписки о приеме заявления и документов .</w:t>
      </w:r>
    </w:p>
    <w:p>
      <w:pPr>
        <w:pStyle w:val="Normal"/>
        <w:widowControl w:val="false"/>
        <w:shd w:fill="FFFFFF" w:val="clear"/>
        <w:rPr>
          <w:color w:val="auto"/>
          <w:sz w:val="24"/>
        </w:rPr>
      </w:pPr>
      <w:r>
        <w:rPr>
          <w:color w:val="auto"/>
          <w:sz w:val="24"/>
        </w:rPr>
        <w:t>Либо:</w:t>
      </w:r>
    </w:p>
    <w:p>
      <w:pPr>
        <w:pStyle w:val="NormalWeb"/>
        <w:shd w:fill="FFFFFF" w:val="clear"/>
        <w:spacing w:before="0" w:after="0"/>
        <w:rPr>
          <w:rFonts w:ascii="Arial" w:hAnsi="Arial" w:cs="Arial"/>
          <w:color w:val="auto"/>
        </w:rPr>
      </w:pPr>
      <w:r>
        <w:rPr>
          <w:rFonts w:cs="Arial" w:ascii="Arial" w:hAnsi="Arial"/>
          <w:color w:val="auto"/>
        </w:rPr>
        <w:t xml:space="preserve">формирует электронные образы заявления, а также представленных заявителем документов; </w:t>
      </w:r>
    </w:p>
    <w:p>
      <w:pPr>
        <w:pStyle w:val="Normal"/>
        <w:widowControl w:val="false"/>
        <w:shd w:fill="FFFFFF" w:val="clear"/>
        <w:rPr/>
      </w:pPr>
      <w:r>
        <w:rPr>
          <w:color w:val="auto"/>
          <w:sz w:val="24"/>
        </w:rPr>
        <w:t xml:space="preserve">обеспечивает регистрацию заявления в </w:t>
      </w:r>
      <w:r>
        <w:rPr>
          <w:sz w:val="24"/>
        </w:rPr>
        <w:t>системе документооборота, установленной в МФЦ</w:t>
      </w:r>
      <w:r>
        <w:rPr>
          <w:color w:val="auto"/>
          <w:sz w:val="24"/>
        </w:rPr>
        <w:t xml:space="preserve"> и возвращает заявление и представленные документы заявителю.</w:t>
      </w:r>
    </w:p>
    <w:p>
      <w:pPr>
        <w:pStyle w:val="Normal"/>
        <w:widowControl w:val="false"/>
        <w:shd w:fill="FFFFFF" w:val="clear"/>
        <w:rPr/>
      </w:pPr>
      <w:r>
        <w:rPr>
          <w:color w:val="auto"/>
          <w:sz w:val="24"/>
        </w:rPr>
        <w:t xml:space="preserve">3.2.3. При поступлении заявления и документов в электронной форме посредством </w:t>
      </w:r>
      <w:r>
        <w:rPr>
          <w:rStyle w:val="FootnoteCharacters"/>
          <w:color w:val="auto"/>
          <w:sz w:val="24"/>
          <w:lang w:eastAsia="en-US"/>
        </w:rPr>
        <w:t>Единого портала</w:t>
      </w:r>
      <w:r>
        <w:rPr>
          <w:color w:val="auto"/>
          <w:sz w:val="24"/>
          <w:lang w:eastAsia="en-US"/>
        </w:rPr>
        <w:t xml:space="preserve">, </w:t>
      </w:r>
      <w:r>
        <w:rPr>
          <w:color w:val="auto"/>
          <w:sz w:val="24"/>
        </w:rPr>
        <w:t xml:space="preserve">Регионального портала, </w:t>
      </w:r>
      <w:r>
        <w:rPr>
          <w:color w:val="auto"/>
          <w:sz w:val="24"/>
          <w:lang w:eastAsia="en-US"/>
        </w:rPr>
        <w:t>портала адресной системы </w:t>
      </w:r>
      <w:r>
        <w:rPr>
          <w:color w:val="auto"/>
          <w:sz w:val="24"/>
        </w:rPr>
        <w:t>сотрудник Управления в срок</w:t>
      </w:r>
      <w:r>
        <w:rPr>
          <w:color w:val="auto"/>
          <w:sz w:val="24"/>
          <w:lang w:eastAsia="ru-RU"/>
        </w:rPr>
        <w:t>, установленный главой 2.13 Регламента для регистрации заявления, осуществляет</w:t>
      </w:r>
      <w:r>
        <w:rPr>
          <w:color w:val="auto"/>
          <w:sz w:val="24"/>
        </w:rPr>
        <w:t>:</w:t>
      </w:r>
    </w:p>
    <w:p>
      <w:pPr>
        <w:pStyle w:val="Normal"/>
        <w:widowControl w:val="false"/>
        <w:shd w:fill="FFFFFF" w:val="clear"/>
        <w:rPr/>
      </w:pPr>
      <w:r>
        <w:rPr>
          <w:color w:val="auto"/>
          <w:sz w:val="24"/>
        </w:rPr>
        <w:t>а) регистрацию заявления, поступившего посредством портала адресной системы;</w:t>
      </w:r>
    </w:p>
    <w:p>
      <w:pPr>
        <w:pStyle w:val="Normal"/>
        <w:widowControl w:val="false"/>
        <w:shd w:fill="FFFFFF" w:val="clear"/>
        <w:rPr/>
      </w:pPr>
      <w:r>
        <w:rPr>
          <w:color w:val="auto"/>
          <w:sz w:val="24"/>
        </w:rPr>
        <w:t>б) </w:t>
      </w:r>
      <w:r>
        <w:rPr>
          <w:rFonts w:eastAsia="Calibri"/>
          <w:color w:val="auto"/>
          <w:sz w:val="24"/>
          <w:lang w:eastAsia="ru-RU"/>
        </w:rPr>
        <w:t>проверку наличия (отсутствия) указанных в главе 2.8 Регламента оснований для отказа в приеме документов;</w:t>
      </w:r>
    </w:p>
    <w:p>
      <w:pPr>
        <w:pStyle w:val="Normal"/>
        <w:widowControl w:val="false"/>
        <w:shd w:fill="FFFFFF" w:val="clear"/>
        <w:rPr/>
      </w:pPr>
      <w:r>
        <w:rPr>
          <w:color w:val="auto"/>
          <w:sz w:val="24"/>
          <w:lang w:eastAsia="en-US"/>
        </w:rPr>
        <w:t xml:space="preserve">в) направление заявителю (представителю заявителя) уведомления о регистрации заявления либо об отказе в приеме документов. </w:t>
      </w:r>
    </w:p>
    <w:p>
      <w:pPr>
        <w:pStyle w:val="Normal"/>
        <w:widowControl w:val="false"/>
        <w:shd w:fill="FFFFFF" w:val="clear"/>
        <w:rPr/>
      </w:pPr>
      <w:r>
        <w:rPr>
          <w:color w:val="auto"/>
          <w:sz w:val="24"/>
        </w:rPr>
        <w:t xml:space="preserve">Получение заявления и документов, представляемых в форме электронных документов, подтверждается сотрудником Управления не позднее рабочего дня, следующего за днем поступления заявления в Администрацию,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перечня наименований файлов, представленных в форме электронных документов, с указанием их объема. Сообщение о получении заявления и документов, указанных в настоящем абзаце, направляется по указанному в заявлении адресу электронной почты или в личный кабинет заявителя (представителя заявителя) на </w:t>
      </w:r>
      <w:r>
        <w:rPr>
          <w:rStyle w:val="FootnoteCharacters"/>
          <w:color w:val="auto"/>
          <w:sz w:val="24"/>
          <w:lang w:eastAsia="en-US"/>
        </w:rPr>
        <w:t>Едином портале</w:t>
      </w:r>
      <w:r>
        <w:rPr>
          <w:color w:val="auto"/>
          <w:sz w:val="24"/>
        </w:rPr>
        <w:t xml:space="preserve">, Региональном портале или портале адресной системы. </w:t>
      </w:r>
    </w:p>
    <w:p>
      <w:pPr>
        <w:pStyle w:val="Normal"/>
        <w:widowControl w:val="false"/>
        <w:shd w:fill="FFFFFF" w:val="clear"/>
        <w:rPr/>
      </w:pPr>
      <w:r>
        <w:rPr>
          <w:color w:val="auto"/>
          <w:sz w:val="24"/>
        </w:rPr>
        <w:t xml:space="preserve">При наличии оснований для отказа в приеме документов, установленных главой 2.8 Регламента, сотрудник Управления подготавливает уведомление об этом.  Такое уведомление подписывается квалифицированной подписью сотрудника Администрации, регистрируется в </w:t>
      </w:r>
      <w:r>
        <w:rPr>
          <w:sz w:val="24"/>
        </w:rPr>
        <w:t xml:space="preserve">системе документооборота, установленной в Администрации </w:t>
      </w:r>
      <w:r>
        <w:rPr>
          <w:color w:val="auto"/>
          <w:sz w:val="24"/>
        </w:rPr>
        <w:t>и направляется способами, указанными в пункте 9 Постановления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pPr>
        <w:pStyle w:val="Normal"/>
        <w:widowControl w:val="false"/>
        <w:shd w:fill="FFFFFF" w:val="clear"/>
        <w:rPr/>
      </w:pPr>
      <w:r>
        <w:rPr>
          <w:color w:val="auto"/>
          <w:sz w:val="24"/>
        </w:rPr>
        <w:t xml:space="preserve">3.2.4. В случае, если заявление и документы представлены в Администрацию посредством почтового отправления или лично через МФЦ, сотрудник Управления проверяет наличие (отсутствие) оснований для отказа в их приеме, указанных в главе 2.8 Регламента. При наличии оснований для отказа в приеме документов, установленных главой 2.8 Регламента, сотрудник Управления в срок не более чем 1 рабочий день, следующий за днем поступления в Администрацию  заявления и документов, в том числе из МФЦ, информирует заявителя </w:t>
      </w:r>
      <w:r>
        <w:rPr>
          <w:color w:val="auto"/>
          <w:sz w:val="24"/>
          <w:lang w:eastAsia="ru-RU"/>
        </w:rPr>
        <w:t xml:space="preserve">(представителя заявителя) </w:t>
      </w:r>
      <w:r>
        <w:rPr>
          <w:color w:val="auto"/>
          <w:sz w:val="24"/>
        </w:rPr>
        <w:t>способом, указанным в заявлении, об отказе в приеме заявления с указанием оснований такого отказа. В случае отсутствия оснований для отказа в приеме документов, обеспечивает регистрацию заявления в системе документооборота, установленной в Администрации</w:t>
      </w:r>
      <w:r>
        <w:rPr>
          <w:color w:val="auto"/>
          <w:sz w:val="24"/>
          <w:vertAlign w:val="superscript"/>
          <w:lang w:eastAsia="en-US"/>
        </w:rPr>
        <w:t xml:space="preserve"> </w:t>
      </w:r>
      <w:r>
        <w:rPr>
          <w:color w:val="auto"/>
          <w:sz w:val="24"/>
        </w:rPr>
        <w:t xml:space="preserve">и направляет расписку в получении таких заявления и документов по указанному в заявлении почтовому адресу в течение рабочего дня, следующего за днем получения Администрацией документов. </w:t>
      </w:r>
    </w:p>
    <w:p>
      <w:pPr>
        <w:pStyle w:val="Style28"/>
        <w:shd w:fill="FFFFFF" w:val="clear"/>
        <w:spacing w:lineRule="auto" w:line="240" w:before="0" w:after="0"/>
        <w:ind w:hanging="0"/>
        <w:rPr>
          <w:color w:val="auto"/>
        </w:rPr>
      </w:pPr>
      <w:r>
        <w:rPr>
          <w:color w:val="auto"/>
          <w:sz w:val="24"/>
        </w:rPr>
        <w:tab/>
        <w:t>В случае нап</w:t>
      </w:r>
      <w:r>
        <w:rPr>
          <w:color w:val="auto"/>
          <w:sz w:val="24"/>
          <w:lang w:eastAsia="en-US"/>
        </w:rPr>
        <w:t>равления</w:t>
      </w:r>
      <w:r>
        <w:rPr>
          <w:color w:val="auto"/>
          <w:sz w:val="24"/>
        </w:rPr>
        <w:t xml:space="preserve"> заявителем (представителем заявителя) документов поср</w:t>
      </w:r>
      <w:r>
        <w:rPr>
          <w:color w:val="auto"/>
          <w:sz w:val="24"/>
          <w:lang w:eastAsia="en-US"/>
        </w:rPr>
        <w:t>едством</w:t>
      </w:r>
      <w:r>
        <w:rPr>
          <w:color w:val="auto"/>
          <w:sz w:val="24"/>
        </w:rPr>
        <w:t xml:space="preserve"> почтового отправления, верность копий направляемых документов должна быть засвидетел</w:t>
      </w:r>
      <w:r>
        <w:rPr>
          <w:color w:val="auto"/>
          <w:sz w:val="24"/>
          <w:lang w:eastAsia="en-US"/>
        </w:rPr>
        <w:t>ьствована</w:t>
      </w:r>
      <w:r>
        <w:rPr>
          <w:color w:val="auto"/>
          <w:sz w:val="24"/>
        </w:rPr>
        <w:t xml:space="preserve"> в нотариальном порядке.</w:t>
      </w:r>
    </w:p>
    <w:p>
      <w:pPr>
        <w:pStyle w:val="Normal"/>
        <w:widowControl w:val="false"/>
        <w:shd w:fill="FFFFFF" w:val="clear"/>
        <w:rPr>
          <w:color w:val="auto"/>
          <w:sz w:val="24"/>
        </w:rPr>
      </w:pPr>
      <w:r>
        <w:rPr>
          <w:color w:val="auto"/>
          <w:sz w:val="24"/>
        </w:rPr>
      </w:r>
    </w:p>
    <w:p>
      <w:pPr>
        <w:pStyle w:val="Normal"/>
        <w:widowControl w:val="false"/>
        <w:shd w:fill="FFFFFF" w:val="clear"/>
        <w:rPr>
          <w:b/>
          <w:b/>
          <w:bCs/>
          <w:color w:val="auto"/>
          <w:sz w:val="24"/>
        </w:rPr>
      </w:pPr>
      <w:r>
        <w:rPr>
          <w:b/>
          <w:bCs/>
          <w:color w:val="auto"/>
          <w:sz w:val="24"/>
        </w:rPr>
        <w:t>3.3. Рассмотрение  заявления и направление  результата предоставления муниципальной услуги</w:t>
      </w:r>
    </w:p>
    <w:p>
      <w:pPr>
        <w:pStyle w:val="Normal"/>
        <w:rPr/>
      </w:pPr>
      <w:r>
        <w:rPr>
          <w:color w:val="auto"/>
          <w:sz w:val="24"/>
        </w:rPr>
        <w:t>3.3.1. Основанием для начала административной процедуры является окончание административной процедуры, установленной главой 3.2 Регламента.</w:t>
      </w:r>
    </w:p>
    <w:p>
      <w:pPr>
        <w:pStyle w:val="Normal"/>
        <w:rPr/>
      </w:pPr>
      <w:r>
        <w:rPr>
          <w:color w:val="auto"/>
          <w:sz w:val="24"/>
        </w:rPr>
        <w:t>3.3.2. При непредставлении документов, установленных пунктом 2.7.1 Регламента, заявителем (представителем заявителя) самостоятельно, сотрудник Управления не позднее 1 рабочего дня, следующего за днем регистрации заявления и документов в Администрации,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 указанные в пункте 2.7.1 Регламента.</w:t>
      </w:r>
    </w:p>
    <w:p>
      <w:pPr>
        <w:pStyle w:val="Normal"/>
        <w:rPr/>
      </w:pPr>
      <w:r>
        <w:rPr>
          <w:color w:val="auto"/>
          <w:sz w:val="24"/>
        </w:rPr>
        <w:t>При предоставлении заявителем (представителем заявителя) самостоятельно документов, установленных пунктом 2.7.1 Регламента, межведомственное электронное взаимодействие не проводится.</w:t>
      </w:r>
    </w:p>
    <w:p>
      <w:pPr>
        <w:pStyle w:val="Normal"/>
        <w:rPr/>
      </w:pPr>
      <w:r>
        <w:rPr>
          <w:color w:val="auto"/>
          <w:sz w:val="24"/>
        </w:rPr>
        <w:t>3.3.3. При присвоении адреса вновь образованному земельному участку и вновь созданному объекту капитального строительства сотрудник Управления в срок не более 1 рабочего дня, следующего за днем получения ответов на межведомственные запросы, указанные в пункте 3.3.2 Регламента, либо, в случае если межведомственное взаимодействие не проводилось, со дня окончания процедуры, предусмотренной главой 3.2 Регламента:</w:t>
      </w:r>
    </w:p>
    <w:p>
      <w:pPr>
        <w:pStyle w:val="Normal"/>
        <w:widowControl w:val="false"/>
        <w:shd w:fill="FFFFFF" w:val="clear"/>
        <w:rPr>
          <w:color w:val="auto"/>
          <w:sz w:val="24"/>
        </w:rPr>
      </w:pPr>
      <w:r>
        <w:rPr>
          <w:color w:val="auto"/>
          <w:sz w:val="24"/>
        </w:rPr>
        <w:t>а) совершает действия, предусмотренные подпунктами «а», «б» пункта 19 Правил присвоения адресов, в том числе анализирует поступившие документы на предмет соответствия требованиям глав 2.6, 2.7 Регламента, а также проверяет наличие оснований для отказа, установленных главой 2.9 Регламента;</w:t>
      </w:r>
    </w:p>
    <w:p>
      <w:pPr>
        <w:pStyle w:val="Normal"/>
        <w:widowControl w:val="false"/>
        <w:shd w:fill="FFFFFF" w:val="clear"/>
        <w:rPr/>
      </w:pPr>
      <w:r>
        <w:rPr>
          <w:color w:val="auto"/>
          <w:sz w:val="24"/>
        </w:rPr>
        <w:t>б) осуществляет подготовку проекта решения о присвоении объекту адресации адреса (об аннулировании адреса объекта адресации), в котором указываются сведения, установленные пунктами 22, 23 Правил прпунктисвоения адресов, по рекомендуемой форме, указанной в приложении № 1 к Регламенту</w:t>
      </w:r>
      <w:r>
        <w:rPr>
          <w:b/>
          <w:bCs/>
          <w:color w:val="auto"/>
          <w:sz w:val="24"/>
        </w:rPr>
        <w:t>,</w:t>
      </w:r>
      <w:r>
        <w:rPr>
          <w:color w:val="auto"/>
          <w:sz w:val="24"/>
        </w:rPr>
        <w:t xml:space="preserve"> при отсутствии оснований для отказа в присвоении (аннулировании) объекту адресации адреса, предусмотренных главой 2.9 Регламента, либо подготовку</w:t>
      </w:r>
      <w:r>
        <w:rPr>
          <w:b/>
          <w:bCs/>
          <w:color w:val="auto"/>
          <w:sz w:val="24"/>
        </w:rPr>
        <w:t xml:space="preserve"> </w:t>
      </w:r>
      <w:r>
        <w:rPr>
          <w:color w:val="auto"/>
          <w:sz w:val="24"/>
        </w:rPr>
        <w:t>проекта решения об отказе в присвоении объекту адресации адреса или аннулировании его адреса с обязательной ссылкой на положения пункта 40 Правил присвоения адресов, являющихся основанием для отказа, по форме, установленной приказом Минфина России № 146н при наличии оснований для отказа в присвоении (аннулировании) объекту адресации адреса, предусмотренных главой 2.9 Регламента;</w:t>
      </w:r>
    </w:p>
    <w:p>
      <w:pPr>
        <w:pStyle w:val="Normal"/>
        <w:widowControl w:val="false"/>
        <w:shd w:fill="FFFFFF" w:val="clear"/>
        <w:rPr>
          <w:sz w:val="24"/>
        </w:rPr>
      </w:pPr>
      <w:r>
        <w:rPr>
          <w:sz w:val="24"/>
        </w:rPr>
        <w:t>в) передает проект решения, указанный в предыдущем абзаце, на утверждение (подписание) заместителю Главы Администрации, курирующему деятельность Управления (далее - Заместитель Главы Администрации)).</w:t>
      </w:r>
    </w:p>
    <w:p>
      <w:pPr>
        <w:pStyle w:val="Normal"/>
        <w:widowControl w:val="false"/>
        <w:shd w:fill="FFFFFF" w:val="clear"/>
        <w:rPr/>
      </w:pPr>
      <w:r>
        <w:rPr>
          <w:color w:val="auto"/>
          <w:sz w:val="24"/>
        </w:rPr>
        <w:t>При присвоении адреса иным объектам адресации, не являющимся вновь образованными земельными участками или вновь созданными объектами капитального строительства, сотрудник Управления совершает действия, перечисленные в абзацах 1-3 настоящего пункта, в срок не более 1 рабочего дня, следующего за днем получения ответов на межведомственные запросы, указанные в пункте 3.3.2 Регламента, либо, в случае если межведомственное взаимодействие не проводилось, со дня окончания процедуры, предусмотренной главой 3.2 Регламента.</w:t>
      </w:r>
    </w:p>
    <w:p>
      <w:pPr>
        <w:pStyle w:val="Normal"/>
        <w:widowControl w:val="false"/>
        <w:shd w:fill="FFFFFF" w:val="clear"/>
        <w:rPr/>
      </w:pPr>
      <w:r>
        <w:rPr>
          <w:color w:val="auto"/>
          <w:sz w:val="24"/>
        </w:rPr>
        <w:t>3.3.4. Проект результата муниципальной услуги подлежит утверждению (подписанию) Заместителем Главы Администрации</w:t>
      </w:r>
      <w:r>
        <w:rPr>
          <w:color w:val="auto"/>
          <w:sz w:val="24"/>
          <w:vertAlign w:val="superscript"/>
        </w:rPr>
        <w:t xml:space="preserve"> </w:t>
      </w:r>
      <w:r>
        <w:rPr>
          <w:color w:val="auto"/>
          <w:sz w:val="24"/>
        </w:rPr>
        <w:t>в течение 1 рабочего дня со дня поступления к нему указанного проекта.</w:t>
      </w:r>
    </w:p>
    <w:p>
      <w:pPr>
        <w:pStyle w:val="Normal"/>
        <w:widowControl w:val="false"/>
        <w:shd w:fill="FFFFFF" w:val="clear"/>
        <w:rPr/>
      </w:pPr>
      <w:r>
        <w:rPr>
          <w:color w:val="auto"/>
          <w:sz w:val="24"/>
        </w:rPr>
        <w:t xml:space="preserve">Сотрудник Управления не позднее 1 рабочего дня со дня утверждения (подписания) Заместителем Главы Администрации результата муниципальной услуги обеспечивает его регистрацию и выдачу (направление) заявителю. </w:t>
      </w:r>
    </w:p>
    <w:p>
      <w:pPr>
        <w:pStyle w:val="Normal"/>
        <w:widowControl w:val="false"/>
        <w:shd w:fill="FFFFFF" w:val="clear"/>
        <w:rPr/>
      </w:pPr>
      <w:r>
        <w:rPr>
          <w:sz w:val="24"/>
        </w:rPr>
        <w:t xml:space="preserve">Решение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w:t>
      </w:r>
      <w:r>
        <w:rPr>
          <w:color w:val="auto"/>
          <w:sz w:val="24"/>
        </w:rPr>
        <w:t>направляется сотрудником Управления заявителю (представителю заявителя) одним из способов, указанным в заявлении:</w:t>
      </w:r>
    </w:p>
    <w:p>
      <w:pPr>
        <w:pStyle w:val="Normal"/>
        <w:widowControl w:val="false"/>
        <w:shd w:fill="FFFFFF" w:val="clear"/>
        <w:rPr/>
      </w:pPr>
      <w:r>
        <w:rPr>
          <w:color w:val="auto"/>
          <w:sz w:val="24"/>
        </w:rPr>
        <w:t xml:space="preserve">а) в форме электронного документа с использованием информационно-телекоммуникационных сетей общего пользования, в том числе </w:t>
      </w:r>
      <w:r>
        <w:rPr>
          <w:rStyle w:val="FootnoteCharacters"/>
          <w:color w:val="auto"/>
          <w:sz w:val="24"/>
          <w:lang w:eastAsia="en-US"/>
        </w:rPr>
        <w:t>Единого портала</w:t>
      </w:r>
      <w:r>
        <w:rPr>
          <w:color w:val="auto"/>
          <w:sz w:val="24"/>
        </w:rPr>
        <w:t>, Регионального портала или портала адресной системы, не позднее одного рабочего дня со дня истечения срока, указанного в пунктах  2.4.1 и 2.4.2 Регламента;</w:t>
      </w:r>
    </w:p>
    <w:p>
      <w:pPr>
        <w:pStyle w:val="Normal"/>
        <w:widowControl w:val="false"/>
        <w:shd w:fill="FFFFFF" w:val="clear"/>
        <w:rPr/>
      </w:pPr>
      <w:r>
        <w:rPr>
          <w:color w:val="auto"/>
          <w:sz w:val="24"/>
        </w:rPr>
        <w:t xml:space="preserve">б) в форме документа на бумажном носителе посредством направления документа не позднее рабочего дня, следующего за </w:t>
      </w:r>
      <w:r>
        <w:rPr>
          <w:b/>
          <w:bCs/>
          <w:color w:val="auto"/>
          <w:sz w:val="24"/>
        </w:rPr>
        <w:t>5</w:t>
      </w:r>
      <w:r>
        <w:rPr>
          <w:b/>
          <w:bCs/>
          <w:strike/>
          <w:color w:val="auto"/>
          <w:sz w:val="24"/>
        </w:rPr>
        <w:t>-</w:t>
      </w:r>
      <w:r>
        <w:rPr>
          <w:color w:val="auto"/>
          <w:sz w:val="24"/>
        </w:rPr>
        <w:t>м рабочим днем со дня истечения установленного в пунктах 2.4.1 и 2.4.2 Регламента срока, посредством почтового отправления по указанному в заявлении почтовому адресу.</w:t>
      </w:r>
    </w:p>
    <w:p>
      <w:pPr>
        <w:pStyle w:val="Normal"/>
        <w:widowControl w:val="false"/>
        <w:shd w:fill="FFFFFF" w:val="clear"/>
        <w:rPr/>
      </w:pPr>
      <w:r>
        <w:rPr>
          <w:color w:val="auto"/>
          <w:sz w:val="24"/>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сотрудник Управления обеспечивает передачу документа</w:t>
      </w:r>
      <w:r>
        <w:rPr>
          <w:sz w:val="24"/>
        </w:rPr>
        <w:t xml:space="preserve">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w:t>
      </w:r>
      <w:r>
        <w:rPr>
          <w:color w:val="auto"/>
          <w:sz w:val="24"/>
        </w:rPr>
        <w:t>в МФЦ для выдачи заявителю не позднее рабочего дня, следующего за днем истечения срока, установленного в пунктах 2.4.1 и 2.4.2 Регламента.</w:t>
      </w:r>
    </w:p>
    <w:p>
      <w:pPr>
        <w:pStyle w:val="Normal"/>
        <w:widowControl w:val="false"/>
        <w:shd w:fill="FFFFFF" w:val="clear"/>
        <w:rPr>
          <w:color w:val="auto"/>
        </w:rPr>
      </w:pPr>
      <w:r>
        <w:rPr>
          <w:color w:val="auto"/>
          <w:sz w:val="24"/>
        </w:rPr>
        <w:t>Дата выдачи (направления) результата услуги и их содержание фиксируются в системе документооборота установленной в Администрации.</w:t>
      </w:r>
    </w:p>
    <w:p>
      <w:pPr>
        <w:pStyle w:val="Normal"/>
        <w:widowControl w:val="false"/>
        <w:shd w:fill="FFFFFF" w:val="clear"/>
        <w:rPr>
          <w:color w:val="auto"/>
          <w:sz w:val="24"/>
        </w:rPr>
      </w:pPr>
      <w:r>
        <w:rPr>
          <w:color w:val="auto"/>
          <w:sz w:val="24"/>
        </w:rPr>
        <w:t>В течение 3 рабоч</w:t>
      </w:r>
      <w:r>
        <w:rPr>
          <w:color w:val="auto"/>
          <w:sz w:val="24"/>
          <w:lang w:eastAsia="en-US"/>
        </w:rPr>
        <w:t>их</w:t>
      </w:r>
      <w:r>
        <w:rPr>
          <w:color w:val="auto"/>
          <w:sz w:val="24"/>
        </w:rPr>
        <w:t xml:space="preserve"> дн</w:t>
      </w:r>
      <w:r>
        <w:rPr>
          <w:color w:val="auto"/>
          <w:sz w:val="24"/>
          <w:lang w:eastAsia="en-US"/>
        </w:rPr>
        <w:t>ей</w:t>
      </w:r>
      <w:r>
        <w:rPr>
          <w:color w:val="auto"/>
          <w:sz w:val="24"/>
        </w:rPr>
        <w:t xml:space="preserve"> со дня принятия решения о присвоении объекту адресации или аннулировании его адреса сотрудник Управления размещает данное решение в государственном адресном реестре в порядке, установленном действующим законодательством.</w:t>
      </w:r>
    </w:p>
    <w:p>
      <w:pPr>
        <w:pStyle w:val="Normal"/>
        <w:widowControl w:val="false"/>
        <w:shd w:fill="FFFFFF" w:val="clear"/>
        <w:rPr>
          <w:color w:val="auto"/>
          <w:sz w:val="24"/>
        </w:rPr>
      </w:pPr>
      <w:r>
        <w:rPr>
          <w:color w:val="auto"/>
          <w:sz w:val="24"/>
        </w:rPr>
        <w:t>Принятие решения о присвоении объекту адресации адреса или аннулировании его адреса без размещения соответствующих сведений в государственном адресном реестре не допускается.</w:t>
      </w:r>
    </w:p>
    <w:p>
      <w:pPr>
        <w:pStyle w:val="Normal"/>
        <w:widowControl w:val="false"/>
        <w:shd w:fill="FFFFFF" w:val="clear"/>
        <w:jc w:val="center"/>
        <w:rPr>
          <w:i/>
          <w:i/>
          <w:iCs/>
          <w:color w:val="auto"/>
          <w:sz w:val="24"/>
        </w:rPr>
      </w:pPr>
      <w:r>
        <w:rPr>
          <w:i/>
          <w:iCs/>
          <w:color w:val="auto"/>
          <w:sz w:val="24"/>
        </w:rPr>
      </w:r>
    </w:p>
    <w:p>
      <w:pPr>
        <w:pStyle w:val="Normal"/>
        <w:rPr>
          <w:color w:val="auto"/>
          <w:sz w:val="24"/>
        </w:rPr>
      </w:pPr>
      <w:r>
        <w:rPr>
          <w:b/>
          <w:color w:val="auto"/>
          <w:sz w:val="24"/>
        </w:rPr>
        <w:t>3.4. Исправление допущенных опечаток и ошибок в выданных в результате предоставления муниципальной услуги документах</w:t>
      </w:r>
    </w:p>
    <w:p>
      <w:pPr>
        <w:pStyle w:val="Normal"/>
        <w:rPr>
          <w:color w:val="auto"/>
          <w:sz w:val="24"/>
        </w:rPr>
      </w:pPr>
      <w:r>
        <w:rPr>
          <w:color w:val="auto"/>
          <w:sz w:val="24"/>
        </w:rPr>
        <w:t>3.4.1. Основанием для начала административной процедуры является выявление заявителем в выданных в результате предоставления муниципальной услуги документах опечаток и (или) ошибок. Заявитель может подать заявление об исправлении допущенных опечаток и (или) ошибок.</w:t>
      </w:r>
    </w:p>
    <w:p>
      <w:pPr>
        <w:pStyle w:val="Normal"/>
        <w:rPr>
          <w:color w:val="auto"/>
          <w:sz w:val="24"/>
        </w:rPr>
      </w:pPr>
      <w:r>
        <w:rPr>
          <w:color w:val="auto"/>
          <w:sz w:val="24"/>
        </w:rPr>
        <w:t>3.4.2. При обращении с заявлением об исправлении допущенных опечаток и (или) ошибок заявитель представляет:</w:t>
      </w:r>
    </w:p>
    <w:p>
      <w:pPr>
        <w:pStyle w:val="Normal"/>
        <w:rPr/>
      </w:pPr>
      <w:r>
        <w:rPr>
          <w:color w:val="auto"/>
          <w:sz w:val="24"/>
        </w:rPr>
        <w:t>а) заявление об исправлении допущенных опечаток и (или) ошибок по форме, согласно приложению 2 к Регламенту;</w:t>
      </w:r>
    </w:p>
    <w:p>
      <w:pPr>
        <w:pStyle w:val="Normal"/>
        <w:rPr/>
      </w:pPr>
      <w:r>
        <w:rPr>
          <w:color w:val="auto"/>
          <w:sz w:val="24"/>
        </w:rPr>
        <w:t>б) документы, имеющие юридическую силу, свидетельствующие о наличии опечаток и (или) ошибок и содержащие правильные данные;</w:t>
      </w:r>
    </w:p>
    <w:p>
      <w:pPr>
        <w:pStyle w:val="Normal"/>
        <w:rPr/>
      </w:pPr>
      <w:r>
        <w:rPr>
          <w:color w:val="auto"/>
          <w:sz w:val="24"/>
        </w:rPr>
        <w:t>в) выданный результат предоставления муниципальной услуги, в котором содержится опечатка и (или) ошибка.</w:t>
      </w:r>
    </w:p>
    <w:p>
      <w:pPr>
        <w:pStyle w:val="Normal"/>
        <w:rPr>
          <w:color w:val="auto"/>
          <w:sz w:val="24"/>
        </w:rPr>
      </w:pPr>
      <w:r>
        <w:rPr>
          <w:color w:val="auto"/>
          <w:sz w:val="24"/>
        </w:rPr>
        <w:t xml:space="preserve">3.4.3. Заявление об исправлении допущенных опечаток и (или) ошибок может быть подано посредством личного обращения в МФЦ, почтового отправления, </w:t>
      </w:r>
      <w:r>
        <w:rPr>
          <w:rStyle w:val="FootnoteCharacters"/>
          <w:color w:val="auto"/>
          <w:sz w:val="24"/>
          <w:lang w:eastAsia="en-US"/>
        </w:rPr>
        <w:t xml:space="preserve">Единого портала , </w:t>
      </w:r>
      <w:r>
        <w:rPr>
          <w:color w:val="auto"/>
          <w:sz w:val="24"/>
        </w:rPr>
        <w:t>Регионального портала</w:t>
      </w:r>
      <w:r>
        <w:rPr>
          <w:b/>
          <w:bCs/>
          <w:color w:val="auto"/>
          <w:sz w:val="24"/>
        </w:rPr>
        <w:t xml:space="preserve">, </w:t>
      </w:r>
      <w:r>
        <w:rPr>
          <w:color w:val="auto"/>
          <w:sz w:val="24"/>
        </w:rPr>
        <w:t>портала адресной системы.</w:t>
      </w:r>
    </w:p>
    <w:p>
      <w:pPr>
        <w:pStyle w:val="Normal"/>
        <w:rPr/>
      </w:pPr>
      <w:r>
        <w:rPr>
          <w:color w:val="auto"/>
          <w:sz w:val="24"/>
        </w:rPr>
        <w:t>3.4.4. Регистрация заявления об исправлении допущенных опечаток и (или) ошибок осуществляется в порядке и сроки, установленные главой 3.2 Регламента.</w:t>
      </w:r>
    </w:p>
    <w:p>
      <w:pPr>
        <w:pStyle w:val="Normal"/>
        <w:rPr/>
      </w:pPr>
      <w:r>
        <w:rPr>
          <w:color w:val="auto"/>
          <w:sz w:val="24"/>
        </w:rPr>
        <w:t xml:space="preserve">3.4.5. В случае выявления допущенных опечаток и (или) ошибок в выданных в результате предоставления муниципальной услуги документах осуществляется их исправление путем составления нового документа, являющегося результатом предоставления муниципальной услуги, и направление (выдача) заявителю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 </w:t>
      </w:r>
    </w:p>
    <w:p>
      <w:pPr>
        <w:pStyle w:val="Normal"/>
        <w:rPr/>
      </w:pPr>
      <w:r>
        <w:rPr>
          <w:rFonts w:eastAsia="Times New Roman"/>
          <w:iCs/>
          <w:color w:val="auto"/>
          <w:sz w:val="24"/>
          <w:lang w:eastAsia="ru-RU"/>
        </w:rPr>
        <w:t>В случае отсутствия опечаток и ошибок в выданных в результате предоставления муниципальной услуги документах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(выдача) заявителю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w:t>
      </w:r>
    </w:p>
    <w:p>
      <w:pPr>
        <w:pStyle w:val="Normal"/>
        <w:shd w:fill="FFFFFF" w:val="clear"/>
        <w:jc w:val="center"/>
        <w:rPr>
          <w:color w:val="auto"/>
          <w:sz w:val="24"/>
          <w:lang w:eastAsia="ru-RU"/>
        </w:rPr>
      </w:pPr>
      <w:r>
        <w:rPr>
          <w:color w:val="auto"/>
          <w:sz w:val="24"/>
          <w:lang w:eastAsia="ru-RU"/>
        </w:rPr>
      </w:r>
    </w:p>
    <w:p>
      <w:pPr>
        <w:pStyle w:val="Normal"/>
        <w:shd w:fill="FFFFFF" w:val="clear"/>
        <w:ind w:hanging="0"/>
        <w:jc w:val="center"/>
        <w:rPr/>
      </w:pPr>
      <w:r>
        <w:rPr>
          <w:b/>
          <w:bCs/>
          <w:color w:val="auto"/>
          <w:sz w:val="24"/>
          <w:lang w:val="en-US" w:eastAsia="ru-RU"/>
        </w:rPr>
        <w:t>IV</w:t>
      </w:r>
      <w:r>
        <w:rPr>
          <w:b/>
          <w:bCs/>
          <w:color w:val="auto"/>
          <w:sz w:val="24"/>
          <w:lang w:eastAsia="ru-RU"/>
        </w:rPr>
        <w:t>. Формы контроля за предоставлением муниципальной услуги</w:t>
      </w:r>
    </w:p>
    <w:p>
      <w:pPr>
        <w:pStyle w:val="Normal"/>
        <w:shd w:fill="FFFFFF" w:val="clear"/>
        <w:jc w:val="center"/>
        <w:rPr>
          <w:color w:val="auto"/>
          <w:sz w:val="24"/>
          <w:lang w:eastAsia="ru-RU"/>
        </w:rPr>
      </w:pPr>
      <w:r>
        <w:rPr>
          <w:color w:val="auto"/>
          <w:sz w:val="24"/>
          <w:lang w:eastAsia="ru-RU"/>
        </w:rPr>
      </w:r>
    </w:p>
    <w:p>
      <w:pPr>
        <w:pStyle w:val="Normal"/>
        <w:rPr>
          <w:b/>
          <w:b/>
          <w:bCs/>
          <w:color w:val="auto"/>
          <w:sz w:val="24"/>
          <w:lang w:eastAsia="ru-RU"/>
        </w:rPr>
      </w:pPr>
      <w:r>
        <w:rPr>
          <w:b/>
          <w:bCs/>
          <w:color w:val="auto"/>
          <w:sz w:val="24"/>
          <w:lang w:eastAsia="ru-RU"/>
        </w:rPr>
        <w:t>4.1. 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Normal"/>
        <w:widowControl w:val="false"/>
        <w:shd w:fill="FFFFFF" w:val="clear"/>
        <w:rPr>
          <w:color w:val="auto"/>
          <w:sz w:val="24"/>
          <w:lang w:eastAsia="ru-RU"/>
        </w:rPr>
      </w:pPr>
      <w:r>
        <w:rPr>
          <w:color w:val="auto"/>
          <w:sz w:val="24"/>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Администрации, осуществляют руководитель, ответственный за организацию работы по предоставлению муниципальной услуги, а также должностные лица Администрации.</w:t>
      </w:r>
    </w:p>
    <w:p>
      <w:pPr>
        <w:pStyle w:val="Normal"/>
        <w:widowControl w:val="false"/>
        <w:shd w:fill="FFFFFF" w:val="clear"/>
        <w:rPr>
          <w:color w:val="auto"/>
          <w:sz w:val="24"/>
          <w:lang w:eastAsia="ru-RU"/>
        </w:rPr>
      </w:pPr>
      <w:r>
        <w:rPr>
          <w:color w:val="auto"/>
          <w:sz w:val="24"/>
          <w:lang w:eastAsia="ru-RU"/>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pPr>
        <w:pStyle w:val="Normal"/>
        <w:widowControl w:val="false"/>
        <w:shd w:fill="FFFFFF" w:val="clear"/>
        <w:rPr>
          <w:color w:val="auto"/>
          <w:sz w:val="24"/>
          <w:lang w:eastAsia="ru-RU"/>
        </w:rPr>
      </w:pPr>
      <w:r>
        <w:rPr>
          <w:color w:val="auto"/>
          <w:sz w:val="24"/>
          <w:lang w:eastAsia="ru-RU"/>
        </w:rPr>
        <w:t>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Администрации положений настоящего административного регламента.</w:t>
      </w:r>
    </w:p>
    <w:p>
      <w:pPr>
        <w:pStyle w:val="Normal"/>
        <w:widowControl w:val="false"/>
        <w:shd w:fill="FFFFFF" w:val="clear"/>
        <w:rPr>
          <w:color w:val="auto"/>
          <w:sz w:val="24"/>
          <w:lang w:eastAsia="ru-RU"/>
        </w:rPr>
      </w:pPr>
      <w:r>
        <w:rPr>
          <w:color w:val="auto"/>
          <w:sz w:val="24"/>
          <w:lang w:eastAsia="ru-RU"/>
        </w:rPr>
        <w:t>Периодичность осуществления текущего контроля устанавливается Главой Администрации.</w:t>
      </w:r>
    </w:p>
    <w:p>
      <w:pPr>
        <w:pStyle w:val="Normal"/>
        <w:widowControl w:val="false"/>
        <w:shd w:fill="FFFFFF" w:val="clear"/>
        <w:rPr>
          <w:color w:val="auto"/>
          <w:sz w:val="24"/>
          <w:lang w:eastAsia="ru-RU"/>
        </w:rPr>
      </w:pPr>
      <w:r>
        <w:rPr>
          <w:color w:val="auto"/>
          <w:sz w:val="24"/>
          <w:lang w:eastAsia="ru-RU"/>
        </w:rPr>
      </w:r>
    </w:p>
    <w:p>
      <w:pPr>
        <w:pStyle w:val="Normal"/>
        <w:widowControl w:val="false"/>
        <w:shd w:fill="FFFFFF" w:val="clear"/>
        <w:rPr>
          <w:b/>
          <w:b/>
          <w:bCs/>
          <w:color w:val="auto"/>
          <w:sz w:val="24"/>
          <w:lang w:eastAsia="ru-RU"/>
        </w:rPr>
      </w:pPr>
      <w:r>
        <w:rPr>
          <w:b/>
          <w:bCs/>
          <w:color w:val="auto"/>
          <w:sz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widowControl w:val="false"/>
        <w:shd w:fill="FFFFFF" w:val="clear"/>
        <w:rPr>
          <w:color w:val="auto"/>
          <w:sz w:val="24"/>
          <w:lang w:eastAsia="ru-RU"/>
        </w:rPr>
      </w:pPr>
      <w:r>
        <w:rPr>
          <w:color w:val="auto"/>
          <w:sz w:val="24"/>
          <w:lang w:eastAsia="ru-RU"/>
        </w:rPr>
        <w:t>Администрация организует и осуществляет контроль за предоставлением муниципальной услуги.</w:t>
      </w:r>
    </w:p>
    <w:p>
      <w:pPr>
        <w:pStyle w:val="Normal"/>
        <w:widowControl w:val="false"/>
        <w:shd w:fill="FFFFFF" w:val="clear"/>
        <w:rPr>
          <w:color w:val="auto"/>
          <w:sz w:val="24"/>
          <w:lang w:eastAsia="ru-RU"/>
        </w:rPr>
      </w:pPr>
      <w:r>
        <w:rPr>
          <w:color w:val="auto"/>
          <w:sz w:val="24"/>
          <w:lang w:eastAsia="ru-RU"/>
        </w:rPr>
        <w:t>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w:t>
      </w:r>
    </w:p>
    <w:p>
      <w:pPr>
        <w:pStyle w:val="Normal"/>
        <w:widowControl w:val="false"/>
        <w:shd w:fill="FFFFFF" w:val="clear"/>
        <w:rPr/>
      </w:pPr>
      <w:r>
        <w:rPr>
          <w:color w:val="auto"/>
          <w:sz w:val="24"/>
          <w:lang w:eastAsia="ru-RU"/>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pPr>
        <w:pStyle w:val="Normal"/>
        <w:widowControl w:val="false"/>
        <w:shd w:fill="FFFFFF" w:val="clear"/>
        <w:rPr/>
      </w:pPr>
      <w:r>
        <w:rPr>
          <w:color w:val="auto"/>
          <w:sz w:val="24"/>
          <w:lang w:eastAsia="ru-RU"/>
        </w:rPr>
        <w:t xml:space="preserve">Проверки полноты и качества предоставления муниципальной услуги осуществляются на основании </w:t>
      </w:r>
      <w:r>
        <w:rPr>
          <w:sz w:val="24"/>
        </w:rPr>
        <w:t>муниципальных правовых актов Администрации</w:t>
      </w:r>
      <w:r>
        <w:rPr>
          <w:color w:val="auto"/>
          <w:sz w:val="24"/>
          <w:lang w:eastAsia="ru-RU"/>
        </w:rPr>
        <w:t>.</w:t>
      </w:r>
    </w:p>
    <w:p>
      <w:pPr>
        <w:pStyle w:val="Normal"/>
        <w:widowControl w:val="false"/>
        <w:shd w:fill="FFFFFF" w:val="clear"/>
        <w:rPr/>
      </w:pPr>
      <w:r>
        <w:rPr>
          <w:color w:val="auto"/>
          <w:sz w:val="24"/>
          <w:lang w:eastAsia="ru-RU"/>
        </w:rPr>
        <w:t>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pPr>
        <w:pStyle w:val="Normal"/>
        <w:shd w:fill="FFFFFF" w:val="clear"/>
        <w:rPr>
          <w:b/>
          <w:b/>
          <w:bCs/>
          <w:color w:val="auto"/>
          <w:sz w:val="24"/>
          <w:lang w:eastAsia="ru-RU"/>
        </w:rPr>
      </w:pPr>
      <w:r>
        <w:rPr>
          <w:b/>
          <w:bCs/>
          <w:color w:val="auto"/>
          <w:sz w:val="24"/>
          <w:lang w:eastAsia="ru-RU"/>
        </w:rPr>
      </w:r>
    </w:p>
    <w:p>
      <w:pPr>
        <w:pStyle w:val="Normal"/>
        <w:shd w:fill="FFFFFF" w:val="clear"/>
        <w:tabs>
          <w:tab w:val="clear" w:pos="720"/>
          <w:tab w:val="left" w:pos="676" w:leader="none"/>
        </w:tabs>
        <w:ind w:hanging="0"/>
        <w:jc w:val="center"/>
        <w:rPr>
          <w:b/>
          <w:b/>
          <w:bCs/>
          <w:color w:val="auto"/>
          <w:sz w:val="24"/>
          <w:lang w:eastAsia="ru-RU"/>
        </w:rPr>
      </w:pPr>
      <w:r>
        <w:rPr>
          <w:b/>
          <w:bCs/>
          <w:color w:val="auto"/>
          <w:sz w:val="24"/>
          <w:lang w:eastAsia="ru-RU"/>
        </w:rPr>
      </w:r>
    </w:p>
    <w:p>
      <w:pPr>
        <w:pStyle w:val="Normal"/>
        <w:shd w:fill="FFFFFF" w:val="clear"/>
        <w:tabs>
          <w:tab w:val="clear" w:pos="720"/>
          <w:tab w:val="left" w:pos="676" w:leader="none"/>
        </w:tabs>
        <w:ind w:hanging="0"/>
        <w:jc w:val="center"/>
        <w:rPr/>
      </w:pPr>
      <w:r>
        <w:rPr>
          <w:b/>
          <w:bCs/>
          <w:color w:val="auto"/>
          <w:sz w:val="24"/>
          <w:lang w:val="en-US" w:eastAsia="ru-RU"/>
        </w:rPr>
        <w:t>V</w:t>
      </w:r>
      <w:r>
        <w:rPr>
          <w:b/>
          <w:bCs/>
          <w:color w:val="auto"/>
          <w:sz w:val="24"/>
          <w:lang w:eastAsia="ru-RU"/>
        </w:rPr>
        <w:t>. Досудебный (внесудебный) порядок обжалования решений и действий (бездействия) органа, предоставляющего муниципальную услугу,</w:t>
      </w:r>
      <w:r>
        <w:rPr>
          <w:color w:val="auto"/>
          <w:sz w:val="24"/>
          <w:lang w:eastAsia="ru-RU"/>
        </w:rPr>
        <w:t xml:space="preserve"> </w:t>
      </w:r>
      <w:r>
        <w:rPr>
          <w:b/>
          <w:bCs/>
          <w:color w:val="auto"/>
          <w:sz w:val="24"/>
          <w:lang w:eastAsia="ru-RU"/>
        </w:rPr>
        <w:t>МФЦ,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pPr>
        <w:pStyle w:val="Normal"/>
        <w:shd w:fill="FFFFFF" w:val="clear"/>
        <w:jc w:val="right"/>
        <w:rPr>
          <w:color w:val="auto"/>
          <w:sz w:val="24"/>
          <w:lang w:eastAsia="ru-RU"/>
        </w:rPr>
      </w:pPr>
      <w:r>
        <w:rPr>
          <w:color w:val="auto"/>
          <w:sz w:val="24"/>
          <w:lang w:eastAsia="ru-RU"/>
        </w:rPr>
      </w:r>
    </w:p>
    <w:p>
      <w:pPr>
        <w:pStyle w:val="Normal"/>
        <w:rPr>
          <w:color w:val="auto"/>
          <w:sz w:val="24"/>
        </w:rPr>
      </w:pPr>
      <w:r>
        <w:rPr>
          <w:color w:val="auto"/>
          <w:sz w:val="24"/>
        </w:rPr>
        <w:t>5.1. Заявитель (представитель заявителя) вправе обжаловать действия (бездействие) и (или) решения, принятые в ходе предоставления муниципальной услуги, в досудебном (внесудебном) порядке.</w:t>
      </w:r>
    </w:p>
    <w:p>
      <w:pPr>
        <w:pStyle w:val="Normal"/>
        <w:rPr>
          <w:color w:val="auto"/>
          <w:sz w:val="24"/>
        </w:rPr>
      </w:pPr>
      <w:r>
        <w:rPr>
          <w:color w:val="auto"/>
          <w:sz w:val="24"/>
        </w:rPr>
        <w:t>5.2. </w:t>
      </w:r>
      <w:r>
        <w:rPr>
          <w:rFonts w:eastAsia="Arial"/>
          <w:color w:val="000000"/>
          <w:sz w:val="24"/>
        </w:rPr>
        <w:t>Жалоба может быть адресована должностным лицам, уполномоченным на ее рассмотрение</w:t>
      </w:r>
      <w:r>
        <w:rPr>
          <w:rFonts w:eastAsia="Arial"/>
          <w:b/>
          <w:bCs/>
          <w:color w:val="000000"/>
          <w:sz w:val="24"/>
        </w:rPr>
        <w:t>,</w:t>
      </w:r>
      <w:r>
        <w:rPr>
          <w:rFonts w:eastAsia="Arial"/>
          <w:color w:val="000000"/>
          <w:sz w:val="24"/>
        </w:rPr>
        <w:t xml:space="preserve"> указанным в части 1 статьи 11.2 Федерального закона от 27.07.2010 № 210-ФЗ «Об организации предоставления государственных и муниципальных услуг», в том числе:</w:t>
      </w:r>
    </w:p>
    <w:p>
      <w:pPr>
        <w:pStyle w:val="Normal"/>
        <w:rPr>
          <w:color w:val="auto"/>
          <w:sz w:val="24"/>
        </w:rPr>
      </w:pPr>
      <w:r>
        <w:rPr>
          <w:color w:val="auto"/>
          <w:sz w:val="24"/>
        </w:rPr>
        <w:t>а) заместителю Главы Администрации, координирующему и контролирующему деятельность структурных подразделений Администрации, на решения и (или) действия (бездействие) должностных лиц структурных подразделений Администрации;</w:t>
      </w:r>
    </w:p>
    <w:p>
      <w:pPr>
        <w:pStyle w:val="Normal"/>
        <w:widowControl w:val="false"/>
        <w:shd w:fill="FFFFFF" w:val="clear"/>
        <w:rPr/>
      </w:pPr>
      <w:r>
        <w:rPr>
          <w:color w:val="auto"/>
          <w:sz w:val="24"/>
        </w:rPr>
        <w:t>б) Главе Администрации на решения и (или) действия (бездействие) заместителя Главы Администрации,</w:t>
      </w:r>
      <w:r>
        <w:rPr>
          <w:color w:val="auto"/>
          <w:sz w:val="24"/>
          <w:lang w:eastAsia="ru-RU"/>
        </w:rPr>
        <w:t xml:space="preserve"> координирующего и контролирующего деятельность определенного структурного подразделения Администрации;</w:t>
      </w:r>
    </w:p>
    <w:p>
      <w:pPr>
        <w:pStyle w:val="Normal"/>
        <w:rPr>
          <w:color w:val="auto"/>
          <w:sz w:val="24"/>
        </w:rPr>
      </w:pPr>
      <w:r>
        <w:rPr>
          <w:color w:val="auto"/>
          <w:sz w:val="24"/>
        </w:rPr>
        <w:t>в) директору МФЦ на решения и (или) действия (бездействие) сотрудников МФЦ.</w:t>
      </w:r>
    </w:p>
    <w:p>
      <w:pPr>
        <w:pStyle w:val="Normal"/>
        <w:rPr>
          <w:color w:val="auto"/>
          <w:sz w:val="24"/>
        </w:rPr>
      </w:pPr>
      <w:r>
        <w:rPr>
          <w:color w:val="auto"/>
          <w:sz w:val="24"/>
        </w:rPr>
        <w:t>Юридические лица и индивидуальные предприниматели, являющиеся заявителями, субъектами градостроительных отношений, при осуществлении процедур, включенных в исчерпывающий перечень процедур в сфере жилищного строительства, также вправе подать жалобу на нарушение установленных сроков осуществления процедуры, включенной в указанный исчерпывающий перечень, а также на предъявление требования осуществить процедуру, не включенную в указанный исчерпывающий перечень, в антимонопольный орган в порядке, установленном антимонопольным законодательством Российской Федерации.</w:t>
      </w:r>
    </w:p>
    <w:p>
      <w:pPr>
        <w:pStyle w:val="Normal"/>
        <w:rPr>
          <w:color w:val="auto"/>
          <w:sz w:val="24"/>
        </w:rPr>
      </w:pPr>
      <w:r>
        <w:rPr>
          <w:color w:val="auto"/>
          <w:sz w:val="24"/>
        </w:rPr>
        <w:t xml:space="preserve">5.3. Информация о порядке подачи и рассмотрения жалобы размещается на официальном сайте Администрации, </w:t>
      </w:r>
      <w:r>
        <w:rPr>
          <w:rStyle w:val="FootnoteCharacters"/>
          <w:color w:val="auto"/>
          <w:sz w:val="24"/>
          <w:lang w:eastAsia="en-US"/>
        </w:rPr>
        <w:t>Едином портале</w:t>
      </w:r>
      <w:r>
        <w:rPr>
          <w:color w:val="auto"/>
          <w:sz w:val="24"/>
        </w:rPr>
        <w:t>, Региональном портале, портале адресной системы, в МФЦ, а также предоставляется непосредственно должностными лицами Администрации по телефонам для справок, а также электронным сообщением по адресу, указанному заявителем.</w:t>
      </w:r>
    </w:p>
    <w:p>
      <w:pPr>
        <w:pStyle w:val="Normal"/>
        <w:rPr>
          <w:color w:val="auto"/>
          <w:sz w:val="24"/>
        </w:rPr>
      </w:pPr>
      <w:r>
        <w:rPr>
          <w:color w:val="auto"/>
          <w:sz w:val="24"/>
        </w:rPr>
        <w:t>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r>
        <w:br w:type="page"/>
      </w:r>
    </w:p>
    <w:p>
      <w:pPr>
        <w:pStyle w:val="Normal"/>
        <w:widowControl w:val="false"/>
        <w:shd w:fill="FFFFFF" w:val="clear"/>
        <w:spacing w:before="0" w:after="0"/>
        <w:ind w:firstLine="540"/>
        <w:contextualSpacing/>
        <w:jc w:val="right"/>
        <w:rPr>
          <w:color w:val="auto"/>
          <w:sz w:val="20"/>
          <w:szCs w:val="20"/>
        </w:rPr>
      </w:pPr>
      <w:r>
        <w:rPr>
          <w:color w:val="auto"/>
          <w:sz w:val="20"/>
          <w:szCs w:val="20"/>
        </w:rPr>
        <w:t>Приложение 1</w:t>
      </w:r>
    </w:p>
    <w:p>
      <w:pPr>
        <w:pStyle w:val="Normal"/>
        <w:widowControl w:val="false"/>
        <w:shd w:fill="FFFFFF" w:val="clear"/>
        <w:spacing w:before="0" w:after="0"/>
        <w:ind w:firstLine="540"/>
        <w:contextualSpacing/>
        <w:jc w:val="right"/>
        <w:rPr>
          <w:color w:val="auto"/>
          <w:sz w:val="20"/>
          <w:szCs w:val="20"/>
        </w:rPr>
      </w:pPr>
      <w:r>
        <w:rPr>
          <w:color w:val="auto"/>
          <w:sz w:val="20"/>
          <w:szCs w:val="20"/>
        </w:rPr>
        <w:t>к Регламенту</w:t>
      </w:r>
    </w:p>
    <w:p>
      <w:pPr>
        <w:pStyle w:val="Normal"/>
        <w:widowControl w:val="false"/>
        <w:shd w:fill="FFFFFF" w:val="clear"/>
        <w:spacing w:before="0" w:after="0"/>
        <w:ind w:firstLine="540"/>
        <w:contextualSpacing/>
        <w:jc w:val="right"/>
        <w:rPr>
          <w:color w:val="auto"/>
          <w:sz w:val="20"/>
          <w:szCs w:val="20"/>
        </w:rPr>
      </w:pPr>
      <w:r>
        <w:rPr>
          <w:color w:val="auto"/>
          <w:sz w:val="20"/>
          <w:szCs w:val="20"/>
        </w:rPr>
        <w:t>(рекомендуемая форма)</w:t>
      </w:r>
    </w:p>
    <w:p>
      <w:pPr>
        <w:pStyle w:val="Normal"/>
        <w:widowControl w:val="false"/>
        <w:shd w:fill="FFFFFF" w:val="clear"/>
        <w:spacing w:before="0" w:after="0"/>
        <w:ind w:firstLine="540"/>
        <w:contextualSpacing/>
        <w:rPr>
          <w:color w:val="auto"/>
          <w:sz w:val="20"/>
          <w:szCs w:val="20"/>
        </w:rPr>
      </w:pPr>
      <w:r>
        <w:rPr>
          <w:color w:val="auto"/>
          <w:sz w:val="20"/>
          <w:szCs w:val="20"/>
        </w:rPr>
      </w:r>
    </w:p>
    <w:p>
      <w:pPr>
        <w:pStyle w:val="Normal"/>
        <w:shd w:fill="FFFFFF" w:val="clear"/>
        <w:spacing w:before="0" w:after="0"/>
        <w:ind w:left="5245" w:hanging="0"/>
        <w:contextualSpacing/>
        <w:jc w:val="right"/>
        <w:rPr>
          <w:color w:val="auto"/>
          <w:sz w:val="20"/>
          <w:szCs w:val="20"/>
        </w:rPr>
      </w:pPr>
      <w:r>
        <w:rPr>
          <w:color w:val="auto"/>
          <w:sz w:val="20"/>
          <w:szCs w:val="20"/>
        </w:rPr>
        <w:t>от ________________ № ___________</w:t>
      </w:r>
    </w:p>
    <w:p>
      <w:pPr>
        <w:pStyle w:val="Normal"/>
        <w:shd w:fill="FFFFFF" w:val="clear"/>
        <w:spacing w:before="0" w:after="0"/>
        <w:ind w:left="5103" w:hanging="0"/>
        <w:contextualSpacing/>
        <w:rPr>
          <w:color w:val="auto"/>
          <w:sz w:val="20"/>
          <w:szCs w:val="20"/>
        </w:rPr>
      </w:pPr>
      <w:r>
        <w:rPr>
          <w:color w:val="auto"/>
          <w:sz w:val="20"/>
          <w:szCs w:val="20"/>
        </w:rPr>
      </w:r>
    </w:p>
    <w:p>
      <w:pPr>
        <w:pStyle w:val="Normal"/>
        <w:pBdr>
          <w:top w:val="single" w:sz="4" w:space="1" w:color="000000"/>
        </w:pBdr>
        <w:shd w:fill="FFFFFF" w:val="clear"/>
        <w:spacing w:before="0" w:after="0"/>
        <w:ind w:left="5103" w:hanging="0"/>
        <w:contextualSpacing/>
        <w:rPr>
          <w:color w:val="auto"/>
          <w:sz w:val="20"/>
          <w:szCs w:val="20"/>
        </w:rPr>
      </w:pPr>
      <w:r>
        <w:rPr>
          <w:color w:val="auto"/>
          <w:sz w:val="20"/>
          <w:szCs w:val="20"/>
        </w:rPr>
      </w:r>
    </w:p>
    <w:p>
      <w:pPr>
        <w:pStyle w:val="Normal"/>
        <w:shd w:fill="FFFFFF" w:val="clear"/>
        <w:spacing w:before="0" w:after="0"/>
        <w:ind w:left="5103" w:hanging="0"/>
        <w:contextualSpacing/>
        <w:rPr>
          <w:color w:val="auto"/>
          <w:sz w:val="20"/>
          <w:szCs w:val="20"/>
        </w:rPr>
      </w:pPr>
      <w:r>
        <w:rPr>
          <w:color w:val="auto"/>
          <w:sz w:val="20"/>
          <w:szCs w:val="20"/>
        </w:rPr>
      </w:r>
    </w:p>
    <w:p>
      <w:pPr>
        <w:pStyle w:val="Normal"/>
        <w:pBdr>
          <w:top w:val="single" w:sz="4" w:space="1" w:color="000000"/>
        </w:pBdr>
        <w:shd w:fill="FFFFFF" w:val="clear"/>
        <w:spacing w:before="0" w:after="0"/>
        <w:ind w:left="5103" w:hanging="0"/>
        <w:contextualSpacing/>
        <w:jc w:val="center"/>
        <w:rPr>
          <w:color w:val="auto"/>
          <w:sz w:val="20"/>
          <w:szCs w:val="20"/>
        </w:rPr>
      </w:pPr>
      <w:r>
        <w:rPr>
          <w:color w:val="auto"/>
          <w:sz w:val="20"/>
          <w:szCs w:val="20"/>
        </w:rPr>
        <w:t>(регистрационный номер заявления о присвоении объекту адресации адреса или аннулировании его адреса)</w:t>
      </w:r>
    </w:p>
    <w:p>
      <w:pPr>
        <w:pStyle w:val="Normal"/>
        <w:shd w:fill="FFFFFF" w:val="clear"/>
        <w:spacing w:before="0" w:after="0"/>
        <w:contextualSpacing/>
        <w:jc w:val="center"/>
        <w:rPr>
          <w:color w:val="auto"/>
          <w:sz w:val="20"/>
          <w:szCs w:val="20"/>
        </w:rPr>
      </w:pPr>
      <w:r>
        <w:rPr>
          <w:color w:val="auto"/>
          <w:sz w:val="20"/>
          <w:szCs w:val="20"/>
        </w:rPr>
      </w:r>
    </w:p>
    <w:p>
      <w:pPr>
        <w:pStyle w:val="Normal"/>
        <w:shd w:fill="FFFFFF" w:val="clear"/>
        <w:spacing w:before="0" w:after="0"/>
        <w:contextualSpacing/>
        <w:jc w:val="center"/>
        <w:rPr>
          <w:color w:val="auto"/>
          <w:sz w:val="20"/>
          <w:szCs w:val="20"/>
        </w:rPr>
      </w:pPr>
      <w:r>
        <w:rPr>
          <w:color w:val="auto"/>
          <w:sz w:val="20"/>
          <w:szCs w:val="20"/>
        </w:rPr>
        <w:t>Распоряжение</w:t>
      </w:r>
    </w:p>
    <w:p>
      <w:pPr>
        <w:pStyle w:val="Normal"/>
        <w:shd w:fill="FFFFFF" w:val="clear"/>
        <w:spacing w:before="0" w:after="0"/>
        <w:contextualSpacing/>
        <w:jc w:val="center"/>
        <w:rPr>
          <w:color w:val="auto"/>
          <w:sz w:val="20"/>
          <w:szCs w:val="20"/>
        </w:rPr>
      </w:pPr>
      <w:r>
        <w:rPr>
          <w:color w:val="auto"/>
          <w:sz w:val="20"/>
          <w:szCs w:val="20"/>
        </w:rPr>
        <w:t>о присвоении объекту адресации адреса или аннулировании его адреса</w:t>
      </w:r>
    </w:p>
    <w:p>
      <w:pPr>
        <w:pStyle w:val="Normal"/>
        <w:shd w:fill="FFFFFF" w:val="clear"/>
        <w:spacing w:before="0" w:after="0"/>
        <w:contextualSpacing/>
        <w:jc w:val="center"/>
        <w:rPr>
          <w:color w:val="auto"/>
          <w:sz w:val="20"/>
          <w:szCs w:val="20"/>
        </w:rPr>
      </w:pPr>
      <w:r>
        <w:rPr>
          <w:color w:val="auto"/>
          <w:sz w:val="20"/>
          <w:szCs w:val="20"/>
        </w:rPr>
      </w:r>
    </w:p>
    <w:p>
      <w:pPr>
        <w:pStyle w:val="Normal"/>
        <w:shd w:fill="FFFFFF" w:val="clear"/>
        <w:spacing w:before="0" w:after="0"/>
        <w:ind w:hanging="0"/>
        <w:contextualSpacing/>
        <w:rPr>
          <w:color w:val="auto"/>
          <w:sz w:val="20"/>
          <w:szCs w:val="20"/>
        </w:rPr>
      </w:pPr>
      <w:r>
        <w:rPr>
          <w:color w:val="auto"/>
          <w:sz w:val="20"/>
          <w:szCs w:val="20"/>
        </w:rPr>
      </w:r>
    </w:p>
    <w:p>
      <w:pPr>
        <w:pStyle w:val="Normal"/>
        <w:pBdr>
          <w:top w:val="single" w:sz="4" w:space="1" w:color="000000"/>
        </w:pBdr>
        <w:shd w:fill="FFFFFF" w:val="clear"/>
        <w:spacing w:before="0" w:after="0"/>
        <w:contextualSpacing/>
        <w:rPr>
          <w:color w:val="auto"/>
          <w:sz w:val="20"/>
          <w:szCs w:val="20"/>
        </w:rPr>
      </w:pPr>
      <w:r>
        <w:rPr>
          <w:color w:val="auto"/>
          <w:sz w:val="20"/>
          <w:szCs w:val="20"/>
        </w:rPr>
      </w:r>
    </w:p>
    <w:p>
      <w:pPr>
        <w:pStyle w:val="Normal"/>
        <w:shd w:fill="FFFFFF" w:val="clear"/>
        <w:spacing w:before="0" w:after="0"/>
        <w:contextualSpacing/>
        <w:rPr>
          <w:color w:val="auto"/>
          <w:sz w:val="20"/>
          <w:szCs w:val="20"/>
        </w:rPr>
      </w:pPr>
      <w:r>
        <w:rPr>
          <w:color w:val="auto"/>
          <w:sz w:val="20"/>
          <w:szCs w:val="20"/>
        </w:rPr>
      </w:r>
    </w:p>
    <w:p>
      <w:pPr>
        <w:pStyle w:val="Normal"/>
        <w:pBdr>
          <w:top w:val="single" w:sz="4" w:space="1" w:color="000000"/>
        </w:pBdr>
        <w:shd w:fill="FFFFFF" w:val="clear"/>
        <w:spacing w:before="0" w:after="0"/>
        <w:contextualSpacing/>
        <w:jc w:val="center"/>
        <w:rPr>
          <w:color w:val="auto"/>
          <w:sz w:val="16"/>
          <w:szCs w:val="16"/>
        </w:rPr>
      </w:pPr>
      <w:r>
        <w:rPr>
          <w:color w:val="auto"/>
          <w:sz w:val="16"/>
          <w:szCs w:val="16"/>
        </w:rPr>
        <w:t>(наименование органа местного самоуправления)</w:t>
      </w:r>
    </w:p>
    <w:p>
      <w:pPr>
        <w:pStyle w:val="Normal"/>
        <w:shd w:fill="FFFFFF" w:val="clear"/>
        <w:tabs>
          <w:tab w:val="clear" w:pos="720"/>
          <w:tab w:val="right" w:pos="9923" w:leader="none"/>
        </w:tabs>
        <w:spacing w:before="0" w:after="0"/>
        <w:contextualSpacing/>
        <w:rPr/>
      </w:pPr>
      <w:r>
        <w:rPr>
          <w:color w:val="auto"/>
          <w:sz w:val="20"/>
          <w:szCs w:val="20"/>
        </w:rPr>
        <w:t>по результатам рассмотрения заявления от ____ № _________________</w:t>
      </w:r>
    </w:p>
    <w:p>
      <w:pPr>
        <w:pStyle w:val="Normal"/>
        <w:shd w:fill="FFFFFF" w:val="clear"/>
        <w:tabs>
          <w:tab w:val="clear" w:pos="720"/>
          <w:tab w:val="right" w:pos="9923" w:leader="none"/>
        </w:tabs>
        <w:spacing w:before="0" w:after="0"/>
        <w:contextualSpacing/>
        <w:jc w:val="right"/>
        <w:rPr>
          <w:color w:val="auto"/>
          <w:sz w:val="20"/>
          <w:szCs w:val="20"/>
        </w:rPr>
      </w:pPr>
      <w:r>
        <w:rPr>
          <w:color w:val="auto"/>
          <w:sz w:val="20"/>
          <w:szCs w:val="20"/>
        </w:rPr>
        <w:t>,</w:t>
      </w:r>
    </w:p>
    <w:p>
      <w:pPr>
        <w:pStyle w:val="Normal"/>
        <w:pBdr>
          <w:top w:val="single" w:sz="4" w:space="1" w:color="000000"/>
        </w:pBdr>
        <w:shd w:fill="FFFFFF" w:val="clear"/>
        <w:spacing w:before="0" w:after="0"/>
        <w:ind w:right="113" w:hanging="0"/>
        <w:contextualSpacing/>
        <w:jc w:val="center"/>
        <w:rPr>
          <w:color w:val="auto"/>
          <w:sz w:val="20"/>
          <w:szCs w:val="20"/>
        </w:rPr>
      </w:pPr>
      <w:r>
        <w:rPr>
          <w:color w:val="auto"/>
          <w:sz w:val="20"/>
          <w:szCs w:val="20"/>
        </w:rPr>
      </w:r>
    </w:p>
    <w:p>
      <w:pPr>
        <w:pStyle w:val="Normal"/>
        <w:shd w:fill="FFFFFF" w:val="clear"/>
        <w:spacing w:before="0" w:after="0"/>
        <w:contextualSpacing/>
        <w:rPr/>
      </w:pPr>
      <w:r>
        <w:rPr>
          <w:color w:val="auto"/>
          <w:sz w:val="20"/>
          <w:szCs w:val="20"/>
        </w:rPr>
        <w:t>на основании Правил присвоения, изменения и аннулирования адресов,</w:t>
        <w:br/>
        <w:t>утвержденных постановлением Правительства Российской Федерации</w:t>
        <w:br/>
        <w:t>от 19.11.2014 № 1221, присвоен (аннулирован) адрес следующему объекту адресации</w:t>
      </w:r>
    </w:p>
    <w:p>
      <w:pPr>
        <w:pStyle w:val="Normal"/>
        <w:shd w:fill="FFFFFF" w:val="clear"/>
        <w:spacing w:before="0" w:after="0"/>
        <w:contextualSpacing/>
        <w:rPr/>
      </w:pPr>
      <w:r>
        <w:rPr>
          <w:color w:val="auto"/>
          <w:sz w:val="20"/>
          <w:szCs w:val="20"/>
        </w:rPr>
        <w:t xml:space="preserve">                                                  </w:t>
      </w:r>
      <w:r>
        <w:rPr>
          <w:color w:val="auto"/>
          <w:sz w:val="16"/>
          <w:szCs w:val="16"/>
        </w:rPr>
        <w:t xml:space="preserve">(нужное подчеркнуть) </w:t>
      </w:r>
    </w:p>
    <w:p>
      <w:pPr>
        <w:pStyle w:val="Normal"/>
        <w:shd w:fill="FFFFFF" w:val="clear"/>
        <w:spacing w:before="0" w:after="0"/>
        <w:contextualSpacing/>
        <w:rPr/>
      </w:pPr>
      <w:r>
        <w:rPr/>
      </w:r>
    </w:p>
    <w:tbl>
      <w:tblPr>
        <w:tblW w:w="9645" w:type="dxa"/>
        <w:jc w:val="left"/>
        <w:tblInd w:w="45" w:type="dxa"/>
        <w:tblCellMar>
          <w:top w:w="0" w:type="dxa"/>
          <w:left w:w="108" w:type="dxa"/>
          <w:bottom w:w="0" w:type="dxa"/>
          <w:right w:w="108" w:type="dxa"/>
        </w:tblCellMar>
        <w:tblLook w:firstRow="1" w:noVBand="1" w:lastRow="0" w:firstColumn="1" w:lastColumn="0" w:noHBand="0" w:val="04a0"/>
      </w:tblPr>
      <w:tblGrid>
        <w:gridCol w:w="6915"/>
        <w:gridCol w:w="2729"/>
      </w:tblGrid>
      <w:tr>
        <w:trPr/>
        <w:tc>
          <w:tcPr>
            <w:tcW w:w="9644"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ind w:hanging="0"/>
              <w:contextualSpacing/>
              <w:rPr>
                <w:i/>
                <w:i/>
                <w:iCs/>
                <w:color w:val="auto"/>
                <w:sz w:val="20"/>
                <w:szCs w:val="20"/>
              </w:rPr>
            </w:pPr>
            <w:r>
              <w:rPr>
                <w:i/>
                <w:iCs/>
                <w:color w:val="auto"/>
                <w:sz w:val="20"/>
                <w:szCs w:val="20"/>
              </w:rPr>
              <w:t>В случае аннулирования адреса объекту адресации</w:t>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t>аннулируемый адрес объекта адресации</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t>уникальный номер аннулируемого адреса объекта адресации в государственном адресном реестре</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t>причину аннулирования адреса объекта адресации</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rHeight w:val="1075" w:hRule="atLeast"/>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t xml:space="preserve">кадастровый номер объекта адресации и дату его снятия с кадастрового учета </w:t>
            </w:r>
          </w:p>
          <w:p>
            <w:pPr>
              <w:pStyle w:val="Normal"/>
              <w:shd w:fill="FFFFFF" w:val="clear"/>
              <w:spacing w:before="0" w:after="0"/>
              <w:contextualSpacing/>
              <w:rPr>
                <w:i/>
                <w:i/>
                <w:iCs/>
                <w:color w:val="auto"/>
                <w:sz w:val="20"/>
                <w:szCs w:val="20"/>
              </w:rPr>
            </w:pPr>
            <w:r>
              <w:rPr>
                <w:i/>
                <w:iCs/>
                <w:color w:val="auto"/>
                <w:sz w:val="20"/>
                <w:szCs w:val="20"/>
              </w:rPr>
              <w:t>(</w:t>
            </w:r>
            <w:r>
              <w:rPr>
                <w:color w:val="auto"/>
                <w:sz w:val="20"/>
                <w:szCs w:val="20"/>
              </w:rPr>
              <w:t>в случае аннулирования адреса объекта адресации в связи с прекращением существования объекта адресации)</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rHeight w:val="110" w:hRule="atLeast"/>
        </w:trPr>
        <w:tc>
          <w:tcPr>
            <w:tcW w:w="6915" w:type="dxa"/>
            <w:tcBorders>
              <w:top w:val="single" w:sz="4" w:space="0" w:color="000000"/>
              <w:left w:val="single" w:sz="4" w:space="0" w:color="000000"/>
              <w:bottom w:val="single" w:sz="4" w:space="0" w:color="000000"/>
            </w:tcBorders>
            <w:shd w:color="auto" w:fill="auto" w:val="clear"/>
          </w:tcPr>
          <w:p>
            <w:pPr>
              <w:pStyle w:val="Normal"/>
              <w:shd w:fill="FFFFFF" w:val="clear"/>
              <w:spacing w:before="0" w:after="0"/>
              <w:contextualSpacing/>
              <w:rPr/>
            </w:pPr>
            <w:r>
              <w:rPr>
                <w:color w:val="auto"/>
                <w:sz w:val="20"/>
                <w:szCs w:val="20"/>
                <w:lang w:eastAsia="ru-RU"/>
              </w:rPr>
              <w:t>другие необходимые сведения, определенные уполномоченным органом</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9644" w:type="dxa"/>
            <w:gridSpan w:val="2"/>
            <w:tcBorders>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i/>
                <w:i/>
                <w:color w:val="auto"/>
                <w:sz w:val="20"/>
                <w:szCs w:val="20"/>
              </w:rPr>
            </w:pPr>
            <w:r>
              <w:rPr>
                <w:i/>
                <w:color w:val="auto"/>
                <w:sz w:val="20"/>
                <w:szCs w:val="20"/>
              </w:rPr>
              <w:t>В случае присвоения адреса объекту адресации</w:t>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pPr>
            <w:r>
              <w:rPr>
                <w:color w:val="auto"/>
                <w:sz w:val="20"/>
                <w:szCs w:val="20"/>
                <w:lang w:eastAsia="ru-RU"/>
              </w:rPr>
              <w:t>присвоенный объекту адресации адрес</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pPr>
            <w:r>
              <w:rPr>
                <w:color w:val="auto"/>
                <w:sz w:val="20"/>
                <w:szCs w:val="20"/>
                <w:lang w:eastAsia="ru-RU"/>
              </w:rPr>
              <w:t>реквизиты и наименования документов, на основании которых принято решение о присвоении адреса</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pPr>
            <w:r>
              <w:rPr>
                <w:color w:val="auto"/>
                <w:sz w:val="20"/>
                <w:szCs w:val="20"/>
                <w:lang w:eastAsia="ru-RU"/>
              </w:rPr>
              <w:t>описание местоположения объекта адресации</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pPr>
            <w:r>
              <w:rPr>
                <w:color w:val="auto"/>
                <w:sz w:val="20"/>
                <w:szCs w:val="20"/>
                <w:lang w:eastAsia="ru-RU"/>
              </w:rPr>
              <w:t>кадастровые номера, адреса и сведения об объектах недвижимости, из которых образуется объект адресации</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pPr>
            <w:r>
              <w:rPr>
                <w:color w:val="auto"/>
                <w:sz w:val="20"/>
                <w:szCs w:val="20"/>
                <w:lang w:eastAsia="ru-RU"/>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rHeight w:val="679" w:hRule="atLeast"/>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pPr>
            <w:r>
              <w:rPr>
                <w:color w:val="auto"/>
                <w:sz w:val="20"/>
                <w:szCs w:val="20"/>
                <w:lang w:eastAsia="ru-RU"/>
              </w:rPr>
              <w:t>другие необходимые сведения, определенные уполномоченным органом</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r>
        <w:trPr>
          <w:trHeight w:val="978" w:hRule="atLeast"/>
        </w:trPr>
        <w:tc>
          <w:tcPr>
            <w:tcW w:w="6915"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pPr>
            <w:r>
              <w:rPr>
                <w:color w:val="auto"/>
                <w:sz w:val="20"/>
                <w:szCs w:val="20"/>
                <w:lang w:eastAsia="ru-RU"/>
              </w:rPr>
              <w:t>кадастровый номер объекта недвижимости, являющегося объектом адресации (заполняется 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w:t>
            </w:r>
          </w:p>
        </w:tc>
        <w:tc>
          <w:tcPr>
            <w:tcW w:w="2729"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fill="FFFFFF" w:val="clear"/>
              <w:spacing w:before="0" w:after="0"/>
              <w:contextualSpacing/>
              <w:rPr>
                <w:color w:val="auto"/>
                <w:sz w:val="20"/>
                <w:szCs w:val="20"/>
              </w:rPr>
            </w:pPr>
            <w:r>
              <w:rPr>
                <w:color w:val="auto"/>
                <w:sz w:val="20"/>
                <w:szCs w:val="20"/>
              </w:rPr>
            </w:r>
          </w:p>
        </w:tc>
      </w:tr>
    </w:tbl>
    <w:p>
      <w:pPr>
        <w:pStyle w:val="Normal"/>
        <w:shd w:fill="FFFFFF" w:val="clear"/>
        <w:spacing w:before="0" w:after="0"/>
        <w:ind w:hanging="0"/>
        <w:contextualSpacing/>
        <w:rPr>
          <w:color w:val="auto"/>
          <w:sz w:val="21"/>
          <w:szCs w:val="21"/>
        </w:rPr>
      </w:pPr>
      <w:r>
        <w:rPr>
          <w:color w:val="auto"/>
          <w:sz w:val="21"/>
          <w:szCs w:val="21"/>
        </w:rPr>
      </w:r>
    </w:p>
    <w:p>
      <w:pPr>
        <w:pStyle w:val="Normal"/>
        <w:shd w:fill="FFFFFF" w:val="clear"/>
        <w:spacing w:before="0" w:after="0"/>
        <w:contextualSpacing/>
        <w:rPr>
          <w:color w:val="auto"/>
          <w:sz w:val="21"/>
          <w:szCs w:val="21"/>
        </w:rPr>
      </w:pPr>
      <w:r>
        <w:rPr>
          <w:color w:val="auto"/>
          <w:sz w:val="21"/>
          <w:szCs w:val="21"/>
        </w:rPr>
        <w:t xml:space="preserve">Уполномоченное лицо органа </w:t>
      </w:r>
    </w:p>
    <w:p>
      <w:pPr>
        <w:pStyle w:val="Normal"/>
        <w:shd w:fill="FFFFFF" w:val="clear"/>
        <w:spacing w:before="0" w:after="0"/>
        <w:contextualSpacing/>
        <w:rPr>
          <w:color w:val="auto"/>
          <w:sz w:val="21"/>
          <w:szCs w:val="21"/>
        </w:rPr>
      </w:pPr>
      <w:r>
        <w:rPr>
          <w:color w:val="auto"/>
          <w:sz w:val="21"/>
          <w:szCs w:val="21"/>
        </w:rPr>
        <w:t>местного самоуправления</w:t>
      </w:r>
    </w:p>
    <w:tbl>
      <w:tblPr>
        <w:tblW w:w="9641" w:type="dxa"/>
        <w:jc w:val="left"/>
        <w:tblInd w:w="0" w:type="dxa"/>
        <w:tblCellMar>
          <w:top w:w="0" w:type="dxa"/>
          <w:left w:w="28" w:type="dxa"/>
          <w:bottom w:w="0" w:type="dxa"/>
          <w:right w:w="28" w:type="dxa"/>
        </w:tblCellMar>
        <w:tblLook w:firstRow="1" w:noVBand="1" w:lastRow="0" w:firstColumn="1" w:lastColumn="0" w:noHBand="0" w:val="04a0"/>
      </w:tblPr>
      <w:tblGrid>
        <w:gridCol w:w="5952"/>
        <w:gridCol w:w="1653"/>
        <w:gridCol w:w="2036"/>
      </w:tblGrid>
      <w:tr>
        <w:trPr/>
        <w:tc>
          <w:tcPr>
            <w:tcW w:w="5952" w:type="dxa"/>
            <w:tcBorders>
              <w:bottom w:val="single" w:sz="4" w:space="0" w:color="000000"/>
            </w:tcBorders>
            <w:shd w:color="auto" w:fill="auto" w:val="clear"/>
            <w:vAlign w:val="bottom"/>
          </w:tcPr>
          <w:p>
            <w:pPr>
              <w:pStyle w:val="Normal"/>
              <w:shd w:fill="FFFFFF" w:val="clear"/>
              <w:spacing w:before="0" w:after="0"/>
              <w:contextualSpacing/>
              <w:jc w:val="center"/>
              <w:rPr>
                <w:color w:val="auto"/>
                <w:sz w:val="21"/>
                <w:szCs w:val="21"/>
              </w:rPr>
            </w:pPr>
            <w:r>
              <w:rPr>
                <w:color w:val="auto"/>
                <w:sz w:val="21"/>
                <w:szCs w:val="21"/>
              </w:rPr>
            </w:r>
          </w:p>
        </w:tc>
        <w:tc>
          <w:tcPr>
            <w:tcW w:w="1653" w:type="dxa"/>
            <w:tcBorders/>
            <w:shd w:color="auto" w:fill="auto" w:val="clear"/>
            <w:vAlign w:val="bottom"/>
          </w:tcPr>
          <w:p>
            <w:pPr>
              <w:pStyle w:val="Normal"/>
              <w:shd w:fill="FFFFFF" w:val="clear"/>
              <w:spacing w:before="0" w:after="0"/>
              <w:contextualSpacing/>
              <w:jc w:val="center"/>
              <w:rPr>
                <w:color w:val="auto"/>
                <w:sz w:val="21"/>
                <w:szCs w:val="21"/>
              </w:rPr>
            </w:pPr>
            <w:r>
              <w:rPr>
                <w:color w:val="auto"/>
                <w:sz w:val="21"/>
                <w:szCs w:val="21"/>
              </w:rPr>
            </w:r>
          </w:p>
        </w:tc>
        <w:tc>
          <w:tcPr>
            <w:tcW w:w="2036" w:type="dxa"/>
            <w:tcBorders>
              <w:bottom w:val="single" w:sz="4" w:space="0" w:color="000000"/>
            </w:tcBorders>
            <w:shd w:color="auto" w:fill="auto" w:val="clear"/>
            <w:vAlign w:val="bottom"/>
          </w:tcPr>
          <w:p>
            <w:pPr>
              <w:pStyle w:val="Normal"/>
              <w:shd w:fill="FFFFFF" w:val="clear"/>
              <w:spacing w:before="0" w:after="0"/>
              <w:contextualSpacing/>
              <w:jc w:val="center"/>
              <w:rPr>
                <w:color w:val="auto"/>
                <w:sz w:val="21"/>
                <w:szCs w:val="21"/>
              </w:rPr>
            </w:pPr>
            <w:r>
              <w:rPr>
                <w:color w:val="auto"/>
                <w:sz w:val="21"/>
                <w:szCs w:val="21"/>
              </w:rPr>
            </w:r>
          </w:p>
        </w:tc>
      </w:tr>
      <w:tr>
        <w:trPr/>
        <w:tc>
          <w:tcPr>
            <w:tcW w:w="5952" w:type="dxa"/>
            <w:tcBorders/>
            <w:shd w:color="auto" w:fill="auto" w:val="clear"/>
          </w:tcPr>
          <w:p>
            <w:pPr>
              <w:pStyle w:val="Normal"/>
              <w:shd w:fill="FFFFFF" w:val="clear"/>
              <w:spacing w:before="0" w:after="0"/>
              <w:contextualSpacing/>
              <w:jc w:val="center"/>
              <w:rPr>
                <w:color w:val="auto"/>
                <w:sz w:val="21"/>
                <w:szCs w:val="21"/>
              </w:rPr>
            </w:pPr>
            <w:r>
              <w:rPr>
                <w:color w:val="auto"/>
                <w:sz w:val="21"/>
                <w:szCs w:val="21"/>
              </w:rPr>
              <w:t>(должность, Ф.И.О.)</w:t>
            </w:r>
          </w:p>
        </w:tc>
        <w:tc>
          <w:tcPr>
            <w:tcW w:w="1653" w:type="dxa"/>
            <w:tcBorders/>
            <w:shd w:color="auto" w:fill="auto" w:val="clear"/>
          </w:tcPr>
          <w:p>
            <w:pPr>
              <w:pStyle w:val="Normal"/>
              <w:shd w:fill="FFFFFF" w:val="clear"/>
              <w:spacing w:before="0" w:after="0"/>
              <w:contextualSpacing/>
              <w:jc w:val="center"/>
              <w:rPr>
                <w:color w:val="auto"/>
                <w:sz w:val="21"/>
                <w:szCs w:val="21"/>
              </w:rPr>
            </w:pPr>
            <w:r>
              <w:rPr>
                <w:color w:val="auto"/>
                <w:sz w:val="21"/>
                <w:szCs w:val="21"/>
              </w:rPr>
            </w:r>
          </w:p>
        </w:tc>
        <w:tc>
          <w:tcPr>
            <w:tcW w:w="2036" w:type="dxa"/>
            <w:tcBorders/>
            <w:shd w:color="auto" w:fill="auto" w:val="clear"/>
          </w:tcPr>
          <w:p>
            <w:pPr>
              <w:pStyle w:val="Normal"/>
              <w:shd w:fill="FFFFFF" w:val="clear"/>
              <w:spacing w:before="0" w:after="0"/>
              <w:contextualSpacing/>
              <w:jc w:val="center"/>
              <w:rPr>
                <w:color w:val="auto"/>
                <w:sz w:val="21"/>
                <w:szCs w:val="21"/>
              </w:rPr>
            </w:pPr>
            <w:r>
              <w:rPr>
                <w:color w:val="auto"/>
                <w:sz w:val="21"/>
                <w:szCs w:val="21"/>
              </w:rPr>
              <w:t>(подпись)</w:t>
            </w:r>
          </w:p>
        </w:tc>
      </w:tr>
    </w:tbl>
    <w:p>
      <w:pPr>
        <w:pStyle w:val="Normal"/>
        <w:shd w:fill="FFFFFF" w:val="clear"/>
        <w:tabs>
          <w:tab w:val="clear" w:pos="720"/>
          <w:tab w:val="left" w:pos="4962" w:leader="none"/>
        </w:tabs>
        <w:spacing w:before="0" w:after="0"/>
        <w:ind w:right="38" w:firstLine="567"/>
        <w:contextualSpacing/>
        <w:jc w:val="right"/>
        <w:rPr>
          <w:b/>
          <w:b/>
          <w:bCs/>
          <w:color w:val="auto"/>
          <w:kern w:val="2"/>
          <w:sz w:val="24"/>
          <w:lang w:eastAsia="ru-RU"/>
        </w:rPr>
      </w:pPr>
      <w:r>
        <w:rPr>
          <w:color w:val="auto"/>
          <w:kern w:val="2"/>
          <w:sz w:val="20"/>
          <w:szCs w:val="20"/>
          <w:lang w:eastAsia="ru-RU"/>
        </w:rPr>
        <w:t>М.П.</w:t>
      </w:r>
    </w:p>
    <w:p>
      <w:pPr>
        <w:pStyle w:val="Normal"/>
        <w:shd w:fill="FFFFFF" w:val="clear"/>
        <w:ind w:firstLine="680"/>
        <w:rPr>
          <w:color w:val="auto"/>
          <w:sz w:val="20"/>
          <w:szCs w:val="20"/>
        </w:rPr>
      </w:pPr>
      <w:r>
        <w:rPr>
          <w:color w:val="auto"/>
          <w:sz w:val="20"/>
          <w:szCs w:val="20"/>
        </w:rPr>
      </w:r>
    </w:p>
    <w:p>
      <w:pPr>
        <w:pStyle w:val="Normal"/>
        <w:widowControl w:val="false"/>
        <w:shd w:fill="FFFFFF" w:val="clear"/>
        <w:spacing w:before="0" w:after="0"/>
        <w:contextualSpacing/>
        <w:jc w:val="right"/>
        <w:rPr>
          <w:color w:val="auto"/>
          <w:sz w:val="24"/>
        </w:rPr>
      </w:pPr>
      <w:r>
        <w:rPr>
          <w:color w:val="auto"/>
          <w:sz w:val="24"/>
        </w:rPr>
      </w:r>
      <w:r>
        <w:br w:type="page"/>
      </w:r>
    </w:p>
    <w:p>
      <w:pPr>
        <w:pStyle w:val="Normal"/>
        <w:widowControl w:val="false"/>
        <w:shd w:fill="FFFFFF" w:val="clear"/>
        <w:spacing w:before="0" w:after="0"/>
        <w:contextualSpacing/>
        <w:jc w:val="right"/>
        <w:rPr>
          <w:color w:val="auto"/>
          <w:sz w:val="20"/>
          <w:szCs w:val="20"/>
        </w:rPr>
      </w:pPr>
      <w:r>
        <w:rPr>
          <w:color w:val="auto"/>
          <w:sz w:val="20"/>
          <w:szCs w:val="20"/>
        </w:rPr>
        <w:t>Приложение 2</w:t>
      </w:r>
    </w:p>
    <w:p>
      <w:pPr>
        <w:pStyle w:val="Normal"/>
        <w:widowControl w:val="false"/>
        <w:shd w:fill="FFFFFF" w:val="clear"/>
        <w:spacing w:before="0" w:after="0"/>
        <w:contextualSpacing/>
        <w:jc w:val="right"/>
        <w:rPr>
          <w:color w:val="auto"/>
          <w:sz w:val="20"/>
          <w:szCs w:val="20"/>
        </w:rPr>
      </w:pPr>
      <w:r>
        <w:rPr>
          <w:color w:val="auto"/>
          <w:sz w:val="20"/>
          <w:szCs w:val="20"/>
        </w:rPr>
        <w:t>к Регламенту</w:t>
      </w:r>
    </w:p>
    <w:p>
      <w:pPr>
        <w:pStyle w:val="Style28"/>
        <w:shd w:fill="FFFFFF" w:val="clear"/>
        <w:spacing w:lineRule="auto" w:line="240" w:before="0" w:after="0"/>
        <w:ind w:hanging="0"/>
        <w:contextualSpacing/>
        <w:jc w:val="center"/>
        <w:rPr>
          <w:color w:val="auto"/>
          <w:sz w:val="20"/>
          <w:szCs w:val="20"/>
        </w:rPr>
      </w:pPr>
      <w:r>
        <w:rPr>
          <w:color w:val="auto"/>
          <w:sz w:val="20"/>
          <w:szCs w:val="20"/>
        </w:rPr>
        <w:t>Заявление об исправлении технической ошибки</w:t>
      </w:r>
    </w:p>
    <w:p>
      <w:pPr>
        <w:pStyle w:val="Style28"/>
        <w:shd w:fill="FFFFFF" w:val="clear"/>
        <w:spacing w:lineRule="auto" w:line="240" w:before="0" w:after="0"/>
        <w:ind w:hanging="0"/>
        <w:contextualSpacing/>
        <w:jc w:val="center"/>
        <w:rPr>
          <w:color w:val="auto"/>
          <w:sz w:val="24"/>
        </w:rPr>
      </w:pPr>
      <w:r>
        <w:rPr>
          <w:color w:val="auto"/>
          <w:sz w:val="24"/>
        </w:rPr>
      </w:r>
    </w:p>
    <w:tbl>
      <w:tblPr>
        <w:tblW w:w="9645" w:type="dxa"/>
        <w:jc w:val="left"/>
        <w:tblInd w:w="0" w:type="dxa"/>
        <w:tblCellMar>
          <w:top w:w="28" w:type="dxa"/>
          <w:left w:w="28" w:type="dxa"/>
          <w:bottom w:w="28" w:type="dxa"/>
          <w:right w:w="28" w:type="dxa"/>
        </w:tblCellMar>
        <w:tblLook w:firstRow="1" w:noVBand="1" w:lastRow="0" w:firstColumn="1" w:lastColumn="0" w:noHBand="0" w:val="04a0"/>
      </w:tblPr>
      <w:tblGrid>
        <w:gridCol w:w="511"/>
        <w:gridCol w:w="569"/>
        <w:gridCol w:w="2533"/>
        <w:gridCol w:w="362"/>
        <w:gridCol w:w="2049"/>
        <w:gridCol w:w="1203"/>
        <w:gridCol w:w="1205"/>
        <w:gridCol w:w="1212"/>
      </w:tblGrid>
      <w:tr>
        <w:trPr/>
        <w:tc>
          <w:tcPr>
            <w:tcW w:w="511" w:type="dxa"/>
            <w:tcBorders>
              <w:top w:val="single" w:sz="8" w:space="0" w:color="000000"/>
              <w:left w:val="single" w:sz="8" w:space="0" w:color="000000"/>
              <w:bottom w:val="single" w:sz="8" w:space="0" w:color="000000"/>
              <w:right w:val="single" w:sz="8" w:space="0" w:color="000000"/>
            </w:tcBorders>
            <w:shd w:color="auto" w:fill="auto" w:val="clear"/>
            <w:vAlign w:val="center"/>
          </w:tcPr>
          <w:p>
            <w:pPr>
              <w:pStyle w:val="Style33"/>
              <w:shd w:fill="FFFFFF" w:val="clear"/>
              <w:spacing w:before="0" w:after="0"/>
              <w:contextualSpacing/>
              <w:jc w:val="center"/>
              <w:rPr>
                <w:color w:val="auto"/>
                <w:sz w:val="20"/>
                <w:szCs w:val="20"/>
              </w:rPr>
            </w:pPr>
            <w:r>
              <w:rPr>
                <w:color w:val="auto"/>
                <w:sz w:val="20"/>
                <w:szCs w:val="20"/>
              </w:rPr>
              <w:t>№</w:t>
            </w:r>
          </w:p>
        </w:tc>
        <w:tc>
          <w:tcPr>
            <w:tcW w:w="9133" w:type="dxa"/>
            <w:gridSpan w:val="7"/>
            <w:tcBorders>
              <w:top w:val="single" w:sz="8" w:space="0" w:color="000000"/>
              <w:bottom w:val="single" w:sz="8" w:space="0" w:color="000000"/>
              <w:right w:val="single" w:sz="8" w:space="0" w:color="000000"/>
            </w:tcBorders>
            <w:shd w:color="auto" w:fill="auto" w:val="clear"/>
            <w:tcMar>
              <w:left w:w="0" w:type="dxa"/>
            </w:tcMar>
            <w:vAlign w:val="center"/>
          </w:tcPr>
          <w:p>
            <w:pPr>
              <w:pStyle w:val="Style33"/>
              <w:shd w:fill="FFFFFF" w:val="clear"/>
              <w:spacing w:before="0" w:after="0"/>
              <w:contextualSpacing/>
              <w:jc w:val="right"/>
              <w:rPr>
                <w:color w:val="auto"/>
                <w:sz w:val="20"/>
                <w:szCs w:val="20"/>
              </w:rPr>
            </w:pPr>
            <w:r>
              <w:rPr>
                <w:color w:val="auto"/>
                <w:sz w:val="20"/>
                <w:szCs w:val="20"/>
              </w:rPr>
              <w:t>В Администрацию _____________________</w:t>
            </w:r>
          </w:p>
        </w:tc>
      </w:tr>
      <w:tr>
        <w:trPr/>
        <w:tc>
          <w:tcPr>
            <w:tcW w:w="511" w:type="dxa"/>
            <w:vMerge w:val="restart"/>
            <w:tcBorders>
              <w:left w:val="single" w:sz="8" w:space="0" w:color="000000"/>
              <w:bottom w:val="single" w:sz="8" w:space="0" w:color="000000"/>
              <w:right w:val="single" w:sz="8" w:space="0" w:color="000000"/>
            </w:tcBorders>
            <w:shd w:color="auto" w:fill="auto" w:val="clear"/>
            <w:tcMar>
              <w:top w:w="0" w:type="dxa"/>
            </w:tcMar>
            <w:vAlign w:val="center"/>
          </w:tcPr>
          <w:p>
            <w:pPr>
              <w:pStyle w:val="Style33"/>
              <w:shd w:fill="FFFFFF" w:val="clear"/>
              <w:spacing w:before="0" w:after="0"/>
              <w:contextualSpacing/>
              <w:jc w:val="center"/>
              <w:rPr>
                <w:color w:val="auto"/>
                <w:sz w:val="20"/>
                <w:szCs w:val="20"/>
                <w:lang w:val="en-US"/>
              </w:rPr>
            </w:pPr>
            <w:r>
              <w:rPr>
                <w:color w:val="auto"/>
                <w:sz w:val="20"/>
                <w:szCs w:val="20"/>
                <w:lang w:val="en-US"/>
              </w:rPr>
              <w:t>1</w:t>
            </w:r>
          </w:p>
        </w:tc>
        <w:tc>
          <w:tcPr>
            <w:tcW w:w="3464" w:type="dxa"/>
            <w:gridSpan w:val="3"/>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t>заявитель</w:t>
            </w:r>
          </w:p>
          <w:p>
            <w:pPr>
              <w:pStyle w:val="Style33"/>
              <w:shd w:fill="FFFFFF" w:val="clear"/>
              <w:spacing w:before="0" w:after="0"/>
              <w:contextualSpacing/>
              <w:jc w:val="center"/>
              <w:rPr>
                <w:color w:val="auto"/>
                <w:sz w:val="20"/>
                <w:szCs w:val="20"/>
              </w:rPr>
            </w:pPr>
            <w:r>
              <w:rPr>
                <w:color w:val="auto"/>
                <w:sz w:val="20"/>
                <w:szCs w:val="20"/>
              </w:rPr>
              <w:t>(отметить знаком «</w:t>
            </w:r>
            <w:r>
              <w:rPr>
                <w:color w:val="auto"/>
                <w:sz w:val="20"/>
                <w:szCs w:val="20"/>
                <w:lang w:val="en-US"/>
              </w:rPr>
              <w:t>V</w:t>
            </w:r>
            <w:r>
              <w:rPr>
                <w:color w:val="auto"/>
                <w:sz w:val="20"/>
                <w:szCs w:val="20"/>
              </w:rPr>
              <w:t>»)</w:t>
            </w:r>
          </w:p>
        </w:tc>
        <w:tc>
          <w:tcPr>
            <w:tcW w:w="2049"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u w:val="single"/>
              </w:rPr>
              <w:t xml:space="preserve">для физ. лиц: </w:t>
            </w:r>
            <w:r>
              <w:rPr>
                <w:color w:val="auto"/>
                <w:sz w:val="20"/>
                <w:szCs w:val="20"/>
              </w:rPr>
              <w:t xml:space="preserve">фамилия, имя, отчество (при наличии); </w:t>
            </w:r>
          </w:p>
          <w:p>
            <w:pPr>
              <w:pStyle w:val="Style33"/>
              <w:shd w:fill="FFFFFF" w:val="clear"/>
              <w:spacing w:before="0" w:after="0"/>
              <w:contextualSpacing/>
              <w:jc w:val="center"/>
              <w:rPr>
                <w:color w:val="auto"/>
                <w:sz w:val="20"/>
                <w:szCs w:val="20"/>
              </w:rPr>
            </w:pPr>
            <w:r>
              <w:rPr>
                <w:color w:val="auto"/>
                <w:sz w:val="20"/>
                <w:szCs w:val="20"/>
                <w:u w:val="single"/>
              </w:rPr>
              <w:t>для юр. лиц:</w:t>
            </w:r>
            <w:r>
              <w:rPr>
                <w:color w:val="auto"/>
                <w:sz w:val="20"/>
                <w:szCs w:val="20"/>
              </w:rPr>
              <w:t xml:space="preserve"> полное наименование, ОГРН;</w:t>
            </w:r>
          </w:p>
        </w:tc>
        <w:tc>
          <w:tcPr>
            <w:tcW w:w="2408" w:type="dxa"/>
            <w:gridSpan w:val="2"/>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t>документ, удостоверяющий личность (вид, серия, номер, выдавший орган, дата выдачи, код подразделения)</w:t>
            </w:r>
          </w:p>
        </w:tc>
        <w:tc>
          <w:tcPr>
            <w:tcW w:w="1212"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t>почтовый адрес, номер телефона, адрес электронной почты</w:t>
            </w:r>
          </w:p>
        </w:tc>
      </w:tr>
      <w:tr>
        <w:trPr/>
        <w:tc>
          <w:tcPr>
            <w:tcW w:w="511" w:type="dxa"/>
            <w:vMerge w:val="continue"/>
            <w:tcBorders>
              <w:left w:val="single" w:sz="8" w:space="0" w:color="000000"/>
              <w:bottom w:val="single" w:sz="8" w:space="0" w:color="000000"/>
              <w:right w:val="single" w:sz="8" w:space="0" w:color="000000"/>
            </w:tcBorders>
            <w:shd w:color="auto" w:fill="auto" w:val="clear"/>
            <w:tcMar>
              <w:top w:w="0" w:type="dxa"/>
            </w:tcMar>
            <w:vAlign w:val="center"/>
          </w:tcPr>
          <w:p>
            <w:pPr>
              <w:pStyle w:val="Normal"/>
              <w:shd w:fill="FFFFFF" w:val="clear"/>
              <w:rPr>
                <w:sz w:val="20"/>
                <w:szCs w:val="20"/>
              </w:rPr>
            </w:pPr>
            <w:r>
              <w:rPr>
                <w:sz w:val="20"/>
                <w:szCs w:val="20"/>
              </w:rPr>
            </w:r>
          </w:p>
        </w:tc>
        <w:tc>
          <w:tcPr>
            <w:tcW w:w="569"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rPr>
                <w:color w:val="auto"/>
                <w:sz w:val="20"/>
                <w:szCs w:val="20"/>
              </w:rPr>
            </w:pPr>
            <w:r>
              <w:rPr>
                <w:color w:val="auto"/>
                <w:sz w:val="20"/>
                <w:szCs w:val="20"/>
              </w:rPr>
            </w:r>
          </w:p>
        </w:tc>
        <w:tc>
          <w:tcPr>
            <w:tcW w:w="2895" w:type="dxa"/>
            <w:gridSpan w:val="2"/>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t>физическое лицо (гражданин)</w:t>
            </w:r>
          </w:p>
        </w:tc>
        <w:tc>
          <w:tcPr>
            <w:tcW w:w="2049"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r>
          </w:p>
        </w:tc>
        <w:tc>
          <w:tcPr>
            <w:tcW w:w="2408" w:type="dxa"/>
            <w:gridSpan w:val="2"/>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r>
          </w:p>
        </w:tc>
        <w:tc>
          <w:tcPr>
            <w:tcW w:w="1212"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r>
          </w:p>
        </w:tc>
      </w:tr>
      <w:tr>
        <w:trPr/>
        <w:tc>
          <w:tcPr>
            <w:tcW w:w="511" w:type="dxa"/>
            <w:vMerge w:val="continue"/>
            <w:tcBorders>
              <w:left w:val="single" w:sz="8" w:space="0" w:color="000000"/>
              <w:bottom w:val="single" w:sz="8" w:space="0" w:color="000000"/>
              <w:right w:val="single" w:sz="8" w:space="0" w:color="000000"/>
            </w:tcBorders>
            <w:shd w:color="auto" w:fill="auto" w:val="clear"/>
            <w:tcMar>
              <w:top w:w="0" w:type="dxa"/>
            </w:tcMar>
            <w:vAlign w:val="center"/>
          </w:tcPr>
          <w:p>
            <w:pPr>
              <w:pStyle w:val="Normal"/>
              <w:shd w:fill="FFFFFF" w:val="clear"/>
              <w:rPr>
                <w:sz w:val="20"/>
                <w:szCs w:val="20"/>
              </w:rPr>
            </w:pPr>
            <w:r>
              <w:rPr>
                <w:sz w:val="20"/>
                <w:szCs w:val="20"/>
              </w:rPr>
            </w:r>
          </w:p>
        </w:tc>
        <w:tc>
          <w:tcPr>
            <w:tcW w:w="569"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rPr>
                <w:color w:val="auto"/>
                <w:sz w:val="20"/>
                <w:szCs w:val="20"/>
              </w:rPr>
            </w:pPr>
            <w:r>
              <w:rPr>
                <w:color w:val="auto"/>
                <w:sz w:val="20"/>
                <w:szCs w:val="20"/>
              </w:rPr>
            </w:r>
          </w:p>
        </w:tc>
        <w:tc>
          <w:tcPr>
            <w:tcW w:w="2895" w:type="dxa"/>
            <w:gridSpan w:val="2"/>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t>юридическое лицо</w:t>
            </w:r>
          </w:p>
        </w:tc>
        <w:tc>
          <w:tcPr>
            <w:tcW w:w="2049"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r>
          </w:p>
        </w:tc>
        <w:tc>
          <w:tcPr>
            <w:tcW w:w="2408" w:type="dxa"/>
            <w:gridSpan w:val="2"/>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r>
          </w:p>
        </w:tc>
        <w:tc>
          <w:tcPr>
            <w:tcW w:w="1212"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r>
          </w:p>
        </w:tc>
      </w:tr>
      <w:tr>
        <w:trPr/>
        <w:tc>
          <w:tcPr>
            <w:tcW w:w="511" w:type="dxa"/>
            <w:vMerge w:val="continue"/>
            <w:tcBorders>
              <w:left w:val="single" w:sz="8" w:space="0" w:color="000000"/>
              <w:bottom w:val="single" w:sz="8" w:space="0" w:color="000000"/>
              <w:right w:val="single" w:sz="8" w:space="0" w:color="000000"/>
            </w:tcBorders>
            <w:shd w:color="auto" w:fill="auto" w:val="clear"/>
            <w:tcMar>
              <w:top w:w="0" w:type="dxa"/>
            </w:tcMar>
            <w:vAlign w:val="center"/>
          </w:tcPr>
          <w:p>
            <w:pPr>
              <w:pStyle w:val="Normal"/>
              <w:rPr/>
            </w:pPr>
            <w:r>
              <w:rPr/>
            </w:r>
          </w:p>
        </w:tc>
        <w:tc>
          <w:tcPr>
            <w:tcW w:w="569"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rPr>
                <w:color w:val="auto"/>
                <w:sz w:val="24"/>
              </w:rPr>
            </w:pPr>
            <w:r>
              <w:rPr>
                <w:color w:val="auto"/>
                <w:sz w:val="24"/>
              </w:rPr>
            </w:r>
          </w:p>
        </w:tc>
        <w:tc>
          <w:tcPr>
            <w:tcW w:w="2895" w:type="dxa"/>
            <w:gridSpan w:val="2"/>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0"/>
                <w:szCs w:val="20"/>
              </w:rPr>
            </w:pPr>
            <w:r>
              <w:rPr>
                <w:color w:val="auto"/>
                <w:sz w:val="20"/>
                <w:szCs w:val="20"/>
              </w:rPr>
              <w:t>Представитель заявителя</w:t>
            </w:r>
          </w:p>
          <w:p>
            <w:pPr>
              <w:pStyle w:val="Style33"/>
              <w:shd w:fill="FFFFFF" w:val="clear"/>
              <w:spacing w:before="0" w:after="0"/>
              <w:contextualSpacing/>
              <w:jc w:val="center"/>
              <w:rPr>
                <w:color w:val="auto"/>
                <w:sz w:val="16"/>
                <w:szCs w:val="16"/>
              </w:rPr>
            </w:pPr>
            <w:r>
              <w:rPr>
                <w:color w:val="auto"/>
                <w:sz w:val="16"/>
                <w:szCs w:val="16"/>
              </w:rPr>
              <w:t xml:space="preserve"> </w:t>
            </w:r>
            <w:r>
              <w:rPr>
                <w:color w:val="auto"/>
                <w:sz w:val="16"/>
                <w:szCs w:val="16"/>
              </w:rPr>
              <w:t>(заполняется в случае обращения представителя заявителя)</w:t>
            </w:r>
          </w:p>
        </w:tc>
        <w:tc>
          <w:tcPr>
            <w:tcW w:w="2049"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4"/>
              </w:rPr>
            </w:pPr>
            <w:r>
              <w:rPr>
                <w:color w:val="auto"/>
                <w:sz w:val="24"/>
              </w:rPr>
            </w:r>
          </w:p>
        </w:tc>
        <w:tc>
          <w:tcPr>
            <w:tcW w:w="2408" w:type="dxa"/>
            <w:gridSpan w:val="2"/>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14"/>
                <w:szCs w:val="14"/>
              </w:rPr>
            </w:pPr>
            <w:r>
              <w:rPr>
                <w:color w:val="auto"/>
                <w:sz w:val="14"/>
                <w:szCs w:val="14"/>
              </w:rPr>
              <w:t>__________________</w:t>
            </w:r>
          </w:p>
          <w:p>
            <w:pPr>
              <w:pStyle w:val="Style33"/>
              <w:suppressLineNumbers/>
              <w:shd w:fill="FFFFFF" w:val="clear"/>
              <w:spacing w:before="0" w:after="0"/>
              <w:ind w:left="57" w:right="57" w:hanging="0"/>
              <w:contextualSpacing/>
              <w:rPr>
                <w:color w:val="auto"/>
                <w:sz w:val="14"/>
                <w:szCs w:val="14"/>
              </w:rPr>
            </w:pPr>
            <w:r>
              <w:rPr>
                <w:color w:val="auto"/>
                <w:sz w:val="14"/>
                <w:szCs w:val="14"/>
              </w:rPr>
              <w:t>(дополнительно указывается дата рождения ребенка или орган ЗАГСа,  зарегистрировавший рождение ребенка, либо номер, дата приказа (постановления) об установлении опеки (попечительства) и наименование органа, его издавшего)*</w:t>
            </w:r>
          </w:p>
          <w:p>
            <w:pPr>
              <w:pStyle w:val="Style33"/>
              <w:suppressLineNumbers/>
              <w:shd w:fill="FFFFFF" w:val="clear"/>
              <w:spacing w:before="0" w:after="0"/>
              <w:ind w:left="57" w:right="57" w:hanging="0"/>
              <w:contextualSpacing/>
              <w:rPr>
                <w:color w:val="auto"/>
                <w:sz w:val="14"/>
                <w:szCs w:val="14"/>
              </w:rPr>
            </w:pPr>
            <w:r>
              <w:rPr>
                <w:color w:val="auto"/>
                <w:sz w:val="14"/>
                <w:szCs w:val="14"/>
              </w:rPr>
              <w:t>* строка заполняется законным представителем ребенка или опекуном (попечителем) заявителя, не представившим документ, подтверждающий его полномочия законного представителя</w:t>
            </w:r>
          </w:p>
        </w:tc>
        <w:tc>
          <w:tcPr>
            <w:tcW w:w="1212"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jc w:val="center"/>
              <w:rPr>
                <w:color w:val="auto"/>
                <w:sz w:val="24"/>
              </w:rPr>
            </w:pPr>
            <w:r>
              <w:rPr>
                <w:color w:val="auto"/>
                <w:sz w:val="24"/>
              </w:rPr>
            </w:r>
          </w:p>
        </w:tc>
      </w:tr>
      <w:tr>
        <w:trPr/>
        <w:tc>
          <w:tcPr>
            <w:tcW w:w="511" w:type="dxa"/>
            <w:tcBorders>
              <w:left w:val="single" w:sz="8" w:space="0" w:color="000000"/>
              <w:bottom w:val="single" w:sz="8" w:space="0" w:color="000000"/>
              <w:right w:val="single" w:sz="8" w:space="0" w:color="000000"/>
            </w:tcBorders>
            <w:shd w:color="auto" w:fill="auto" w:val="clear"/>
            <w:tcMar>
              <w:top w:w="0" w:type="dxa"/>
            </w:tcMar>
            <w:vAlign w:val="center"/>
          </w:tcPr>
          <w:p>
            <w:pPr>
              <w:pStyle w:val="Style33"/>
              <w:shd w:fill="FFFFFF" w:val="clear"/>
              <w:spacing w:before="0" w:after="0"/>
              <w:contextualSpacing/>
              <w:jc w:val="center"/>
              <w:rPr>
                <w:color w:val="auto"/>
                <w:sz w:val="20"/>
                <w:szCs w:val="20"/>
              </w:rPr>
            </w:pPr>
            <w:r>
              <w:rPr>
                <w:color w:val="auto"/>
                <w:sz w:val="20"/>
                <w:szCs w:val="20"/>
              </w:rPr>
              <w:t>2</w:t>
            </w:r>
          </w:p>
        </w:tc>
        <w:tc>
          <w:tcPr>
            <w:tcW w:w="9133" w:type="dxa"/>
            <w:gridSpan w:val="7"/>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rPr>
                <w:color w:val="auto"/>
                <w:sz w:val="20"/>
                <w:szCs w:val="20"/>
              </w:rPr>
            </w:pPr>
            <w:r>
              <w:rPr>
                <w:color w:val="auto"/>
                <w:sz w:val="20"/>
                <w:szCs w:val="20"/>
              </w:rPr>
              <w:t>Прошу исправить техническую ошибку в _________________________________</w:t>
            </w:r>
          </w:p>
          <w:p>
            <w:pPr>
              <w:pStyle w:val="Style33"/>
              <w:shd w:fill="FFFFFF" w:val="clear"/>
              <w:spacing w:before="0" w:after="0"/>
              <w:contextualSpacing/>
              <w:rPr>
                <w:color w:val="auto"/>
                <w:sz w:val="20"/>
                <w:szCs w:val="20"/>
              </w:rPr>
            </w:pPr>
            <w:r>
              <w:rPr>
                <w:color w:val="auto"/>
                <w:sz w:val="20"/>
                <w:szCs w:val="20"/>
              </w:rPr>
              <w:t>___________________________________________________________________</w:t>
            </w:r>
          </w:p>
          <w:p>
            <w:pPr>
              <w:pStyle w:val="Style33"/>
              <w:shd w:fill="FFFFFF" w:val="clear"/>
              <w:spacing w:before="0" w:after="0"/>
              <w:contextualSpacing/>
              <w:jc w:val="center"/>
              <w:rPr>
                <w:color w:val="auto"/>
                <w:sz w:val="20"/>
                <w:szCs w:val="20"/>
              </w:rPr>
            </w:pPr>
            <w:r>
              <w:rPr>
                <w:color w:val="auto"/>
                <w:sz w:val="20"/>
                <w:szCs w:val="20"/>
              </w:rPr>
              <w:t>(указывается вид и реквизиты документа, выданного по результатам муниципальной услуги, в котором допущена ошибка)</w:t>
            </w:r>
          </w:p>
          <w:p>
            <w:pPr>
              <w:pStyle w:val="Style33"/>
              <w:shd w:fill="FFFFFF" w:val="clear"/>
              <w:spacing w:before="0" w:after="0"/>
              <w:contextualSpacing/>
              <w:jc w:val="center"/>
              <w:rPr>
                <w:color w:val="auto"/>
                <w:sz w:val="20"/>
                <w:szCs w:val="20"/>
              </w:rPr>
            </w:pPr>
            <w:r>
              <w:rPr>
                <w:color w:val="auto"/>
                <w:sz w:val="20"/>
                <w:szCs w:val="20"/>
              </w:rPr>
              <w:t>заключающуюся в ___________________________________________________</w:t>
            </w:r>
          </w:p>
          <w:p>
            <w:pPr>
              <w:pStyle w:val="Style33"/>
              <w:shd w:fill="FFFFFF" w:val="clear"/>
              <w:spacing w:before="0" w:after="0"/>
              <w:contextualSpacing/>
              <w:jc w:val="center"/>
              <w:rPr>
                <w:color w:val="auto"/>
                <w:sz w:val="20"/>
                <w:szCs w:val="20"/>
              </w:rPr>
            </w:pPr>
            <w:r>
              <w:rPr>
                <w:color w:val="auto"/>
                <w:sz w:val="20"/>
                <w:szCs w:val="20"/>
              </w:rPr>
              <w:t>(указать, в чем заключается ошибка (опечатка) и (по возможности), чем это подтверждается)</w:t>
            </w:r>
          </w:p>
        </w:tc>
      </w:tr>
      <w:tr>
        <w:trPr/>
        <w:tc>
          <w:tcPr>
            <w:tcW w:w="511" w:type="dxa"/>
            <w:vMerge w:val="restart"/>
            <w:tcBorders>
              <w:left w:val="single" w:sz="8" w:space="0" w:color="000000"/>
              <w:bottom w:val="single" w:sz="8" w:space="0" w:color="000000"/>
              <w:right w:val="single" w:sz="8" w:space="0" w:color="000000"/>
            </w:tcBorders>
            <w:shd w:color="auto" w:fill="auto" w:val="clear"/>
            <w:tcMar>
              <w:top w:w="0" w:type="dxa"/>
            </w:tcMar>
            <w:vAlign w:val="center"/>
          </w:tcPr>
          <w:p>
            <w:pPr>
              <w:pStyle w:val="Style33"/>
              <w:shd w:fill="FFFFFF" w:val="clear"/>
              <w:spacing w:before="0" w:after="0"/>
              <w:contextualSpacing/>
              <w:jc w:val="center"/>
              <w:rPr>
                <w:color w:val="auto"/>
                <w:sz w:val="20"/>
                <w:szCs w:val="20"/>
              </w:rPr>
            </w:pPr>
            <w:r>
              <w:rPr>
                <w:color w:val="auto"/>
                <w:sz w:val="20"/>
                <w:szCs w:val="20"/>
              </w:rPr>
              <w:t>3</w:t>
            </w:r>
          </w:p>
        </w:tc>
        <w:tc>
          <w:tcPr>
            <w:tcW w:w="3102" w:type="dxa"/>
            <w:gridSpan w:val="2"/>
            <w:vMerge w:val="restart"/>
            <w:tcBorders>
              <w:bottom w:val="single" w:sz="8" w:space="0" w:color="000000"/>
              <w:right w:val="single" w:sz="8" w:space="0" w:color="000000"/>
            </w:tcBorders>
            <w:shd w:color="auto" w:fill="auto" w:val="clear"/>
            <w:tcMar>
              <w:top w:w="0" w:type="dxa"/>
              <w:left w:w="0" w:type="dxa"/>
            </w:tcMar>
            <w:vAlign w:val="center"/>
          </w:tcPr>
          <w:p>
            <w:pPr>
              <w:pStyle w:val="Style33"/>
              <w:suppressLineNumbers/>
              <w:shd w:fill="FFFFFF" w:val="clear"/>
              <w:spacing w:before="0" w:after="0"/>
              <w:ind w:left="57" w:hanging="0"/>
              <w:contextualSpacing/>
              <w:rPr>
                <w:color w:val="auto"/>
                <w:sz w:val="20"/>
                <w:szCs w:val="20"/>
              </w:rPr>
            </w:pPr>
            <w:r>
              <w:rPr>
                <w:color w:val="auto"/>
                <w:sz w:val="20"/>
                <w:szCs w:val="20"/>
              </w:rPr>
              <w:t>Результат предоставления муниципальной услуги прошу (отметить знаком «V»)</w:t>
            </w:r>
          </w:p>
        </w:tc>
        <w:tc>
          <w:tcPr>
            <w:tcW w:w="362"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ind w:hanging="0"/>
              <w:contextualSpacing/>
              <w:rPr>
                <w:color w:val="auto"/>
                <w:sz w:val="20"/>
                <w:szCs w:val="20"/>
              </w:rPr>
            </w:pPr>
            <w:r>
              <w:rPr>
                <w:color w:val="auto"/>
                <w:sz w:val="20"/>
                <w:szCs w:val="20"/>
              </w:rPr>
            </w:r>
          </w:p>
        </w:tc>
        <w:tc>
          <w:tcPr>
            <w:tcW w:w="5669" w:type="dxa"/>
            <w:gridSpan w:val="4"/>
            <w:tcBorders>
              <w:bottom w:val="single" w:sz="8" w:space="0" w:color="000000"/>
              <w:right w:val="single" w:sz="8" w:space="0" w:color="000000"/>
            </w:tcBorders>
            <w:shd w:color="auto" w:fill="auto" w:val="clear"/>
            <w:tcMar>
              <w:top w:w="0" w:type="dxa"/>
              <w:left w:w="0" w:type="dxa"/>
            </w:tcMar>
            <w:vAlign w:val="center"/>
          </w:tcPr>
          <w:p>
            <w:pPr>
              <w:pStyle w:val="Style33"/>
              <w:suppressLineNumbers/>
              <w:shd w:fill="FFFFFF" w:val="clear"/>
              <w:spacing w:before="0" w:after="0"/>
              <w:ind w:left="113" w:hanging="0"/>
              <w:contextualSpacing/>
              <w:rPr>
                <w:color w:val="auto"/>
                <w:sz w:val="20"/>
                <w:szCs w:val="20"/>
              </w:rPr>
            </w:pPr>
            <w:r>
              <w:rPr>
                <w:color w:val="auto"/>
                <w:sz w:val="20"/>
                <w:szCs w:val="20"/>
              </w:rPr>
              <w:t>выдать в ходе личного приема в МФЦ</w:t>
            </w:r>
          </w:p>
          <w:p>
            <w:pPr>
              <w:pStyle w:val="Style33"/>
              <w:suppressLineNumbers/>
              <w:shd w:fill="FFFFFF" w:val="clear"/>
              <w:spacing w:before="0" w:after="0"/>
              <w:ind w:left="113" w:hanging="0"/>
              <w:contextualSpacing/>
              <w:rPr>
                <w:color w:val="auto"/>
                <w:sz w:val="20"/>
                <w:szCs w:val="20"/>
              </w:rPr>
            </w:pPr>
            <w:r>
              <w:rPr>
                <w:color w:val="auto"/>
                <w:sz w:val="20"/>
                <w:szCs w:val="20"/>
              </w:rPr>
              <w:t>_______________________________**</w:t>
            </w:r>
          </w:p>
          <w:p>
            <w:pPr>
              <w:pStyle w:val="Style33"/>
              <w:suppressLineNumbers/>
              <w:shd w:fill="FFFFFF" w:val="clear"/>
              <w:spacing w:before="0" w:after="0"/>
              <w:ind w:left="113" w:hanging="0"/>
              <w:contextualSpacing/>
              <w:rPr>
                <w:color w:val="auto"/>
                <w:sz w:val="20"/>
                <w:szCs w:val="20"/>
              </w:rPr>
            </w:pPr>
            <w:r>
              <w:rPr>
                <w:color w:val="auto"/>
                <w:sz w:val="20"/>
                <w:szCs w:val="20"/>
              </w:rPr>
              <w:t xml:space="preserve">** данный способ получения результата доступен в случае предоставления муниципальной услуги через МФЦ </w:t>
            </w:r>
          </w:p>
        </w:tc>
      </w:tr>
      <w:tr>
        <w:trPr/>
        <w:tc>
          <w:tcPr>
            <w:tcW w:w="511" w:type="dxa"/>
            <w:vMerge w:val="continue"/>
            <w:tcBorders>
              <w:left w:val="single" w:sz="8" w:space="0" w:color="000000"/>
              <w:bottom w:val="single" w:sz="8" w:space="0" w:color="000000"/>
              <w:right w:val="single" w:sz="8" w:space="0" w:color="000000"/>
            </w:tcBorders>
            <w:shd w:color="auto" w:fill="auto" w:val="clear"/>
            <w:tcMar>
              <w:top w:w="0" w:type="dxa"/>
            </w:tcMar>
            <w:vAlign w:val="center"/>
          </w:tcPr>
          <w:p>
            <w:pPr>
              <w:pStyle w:val="Normal"/>
              <w:shd w:fill="FFFFFF" w:val="clear"/>
              <w:rPr>
                <w:sz w:val="20"/>
                <w:szCs w:val="20"/>
              </w:rPr>
            </w:pPr>
            <w:r>
              <w:rPr>
                <w:sz w:val="20"/>
                <w:szCs w:val="20"/>
              </w:rPr>
            </w:r>
          </w:p>
        </w:tc>
        <w:tc>
          <w:tcPr>
            <w:tcW w:w="3102" w:type="dxa"/>
            <w:gridSpan w:val="2"/>
            <w:vMerge w:val="continue"/>
            <w:tcBorders>
              <w:bottom w:val="single" w:sz="8" w:space="0" w:color="000000"/>
              <w:right w:val="single" w:sz="8" w:space="0" w:color="000000"/>
            </w:tcBorders>
            <w:shd w:color="auto" w:fill="auto" w:val="clear"/>
            <w:tcMar>
              <w:top w:w="0" w:type="dxa"/>
              <w:left w:w="0" w:type="dxa"/>
            </w:tcMar>
            <w:vAlign w:val="center"/>
          </w:tcPr>
          <w:p>
            <w:pPr>
              <w:pStyle w:val="Normal"/>
              <w:shd w:fill="FFFFFF" w:val="clear"/>
              <w:rPr>
                <w:sz w:val="20"/>
                <w:szCs w:val="20"/>
              </w:rPr>
            </w:pPr>
            <w:r>
              <w:rPr>
                <w:sz w:val="20"/>
                <w:szCs w:val="20"/>
              </w:rPr>
            </w:r>
          </w:p>
        </w:tc>
        <w:tc>
          <w:tcPr>
            <w:tcW w:w="362"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rPr>
                <w:color w:val="auto"/>
                <w:sz w:val="20"/>
                <w:szCs w:val="20"/>
              </w:rPr>
            </w:pPr>
            <w:r>
              <w:rPr>
                <w:color w:val="auto"/>
                <w:sz w:val="20"/>
                <w:szCs w:val="20"/>
              </w:rPr>
            </w:r>
          </w:p>
        </w:tc>
        <w:tc>
          <w:tcPr>
            <w:tcW w:w="5669" w:type="dxa"/>
            <w:gridSpan w:val="4"/>
            <w:tcBorders>
              <w:bottom w:val="single" w:sz="8" w:space="0" w:color="000000"/>
              <w:right w:val="single" w:sz="8" w:space="0" w:color="000000"/>
            </w:tcBorders>
            <w:shd w:color="auto" w:fill="auto" w:val="clear"/>
            <w:tcMar>
              <w:top w:w="0" w:type="dxa"/>
              <w:left w:w="0" w:type="dxa"/>
            </w:tcMar>
            <w:vAlign w:val="center"/>
          </w:tcPr>
          <w:p>
            <w:pPr>
              <w:pStyle w:val="Style33"/>
              <w:suppressLineNumbers/>
              <w:shd w:fill="FFFFFF" w:val="clear"/>
              <w:spacing w:before="0" w:after="0"/>
              <w:ind w:left="113" w:hanging="0"/>
              <w:contextualSpacing/>
              <w:rPr>
                <w:color w:val="auto"/>
                <w:sz w:val="20"/>
                <w:szCs w:val="20"/>
              </w:rPr>
            </w:pPr>
            <w:r>
              <w:rPr>
                <w:color w:val="auto"/>
                <w:sz w:val="20"/>
                <w:szCs w:val="20"/>
              </w:rPr>
              <w:t>направить почтовым отправлением по указанному выше почтовому адресу</w:t>
            </w:r>
          </w:p>
        </w:tc>
      </w:tr>
      <w:tr>
        <w:trPr/>
        <w:tc>
          <w:tcPr>
            <w:tcW w:w="511" w:type="dxa"/>
            <w:vMerge w:val="continue"/>
            <w:tcBorders>
              <w:left w:val="single" w:sz="8" w:space="0" w:color="000000"/>
              <w:bottom w:val="single" w:sz="8" w:space="0" w:color="000000"/>
              <w:right w:val="single" w:sz="8" w:space="0" w:color="000000"/>
            </w:tcBorders>
            <w:shd w:color="auto" w:fill="auto" w:val="clear"/>
            <w:tcMar>
              <w:top w:w="0" w:type="dxa"/>
            </w:tcMar>
            <w:vAlign w:val="center"/>
          </w:tcPr>
          <w:p>
            <w:pPr>
              <w:pStyle w:val="Normal"/>
              <w:shd w:fill="FFFFFF" w:val="clear"/>
              <w:rPr>
                <w:sz w:val="20"/>
                <w:szCs w:val="20"/>
              </w:rPr>
            </w:pPr>
            <w:r>
              <w:rPr>
                <w:sz w:val="20"/>
                <w:szCs w:val="20"/>
              </w:rPr>
            </w:r>
          </w:p>
        </w:tc>
        <w:tc>
          <w:tcPr>
            <w:tcW w:w="3102" w:type="dxa"/>
            <w:gridSpan w:val="2"/>
            <w:vMerge w:val="continue"/>
            <w:tcBorders>
              <w:bottom w:val="single" w:sz="8" w:space="0" w:color="000000"/>
              <w:right w:val="single" w:sz="8" w:space="0" w:color="000000"/>
            </w:tcBorders>
            <w:shd w:color="auto" w:fill="auto" w:val="clear"/>
            <w:tcMar>
              <w:top w:w="0" w:type="dxa"/>
              <w:left w:w="0" w:type="dxa"/>
            </w:tcMar>
            <w:vAlign w:val="center"/>
          </w:tcPr>
          <w:p>
            <w:pPr>
              <w:pStyle w:val="Normal"/>
              <w:shd w:fill="FFFFFF" w:val="clear"/>
              <w:rPr>
                <w:sz w:val="20"/>
                <w:szCs w:val="20"/>
              </w:rPr>
            </w:pPr>
            <w:r>
              <w:rPr>
                <w:sz w:val="20"/>
                <w:szCs w:val="20"/>
              </w:rPr>
            </w:r>
          </w:p>
        </w:tc>
        <w:tc>
          <w:tcPr>
            <w:tcW w:w="362" w:type="dxa"/>
            <w:tcBorders>
              <w:bottom w:val="single" w:sz="8" w:space="0" w:color="000000"/>
              <w:right w:val="single" w:sz="8" w:space="0" w:color="000000"/>
            </w:tcBorders>
            <w:shd w:color="auto" w:fill="auto" w:val="clear"/>
            <w:tcMar>
              <w:top w:w="0" w:type="dxa"/>
              <w:left w:w="0" w:type="dxa"/>
            </w:tcMar>
            <w:vAlign w:val="center"/>
          </w:tcPr>
          <w:p>
            <w:pPr>
              <w:pStyle w:val="Style33"/>
              <w:shd w:fill="FFFFFF" w:val="clear"/>
              <w:spacing w:before="0" w:after="0"/>
              <w:contextualSpacing/>
              <w:rPr>
                <w:color w:val="auto"/>
                <w:sz w:val="20"/>
                <w:szCs w:val="20"/>
              </w:rPr>
            </w:pPr>
            <w:r>
              <w:rPr>
                <w:color w:val="auto"/>
                <w:sz w:val="20"/>
                <w:szCs w:val="20"/>
              </w:rPr>
            </w:r>
          </w:p>
        </w:tc>
        <w:tc>
          <w:tcPr>
            <w:tcW w:w="5669" w:type="dxa"/>
            <w:gridSpan w:val="4"/>
            <w:tcBorders>
              <w:bottom w:val="single" w:sz="8" w:space="0" w:color="000000"/>
              <w:right w:val="single" w:sz="8" w:space="0" w:color="000000"/>
            </w:tcBorders>
            <w:shd w:color="auto" w:fill="auto" w:val="clear"/>
            <w:tcMar>
              <w:top w:w="0" w:type="dxa"/>
              <w:left w:w="0" w:type="dxa"/>
            </w:tcMar>
            <w:vAlign w:val="center"/>
          </w:tcPr>
          <w:p>
            <w:pPr>
              <w:pStyle w:val="Style33"/>
              <w:suppressLineNumbers/>
              <w:shd w:fill="FFFFFF" w:val="clear"/>
              <w:spacing w:before="0" w:after="0"/>
              <w:ind w:left="113" w:hanging="0"/>
              <w:contextualSpacing/>
              <w:rPr>
                <w:color w:val="auto"/>
                <w:sz w:val="20"/>
                <w:szCs w:val="20"/>
              </w:rPr>
            </w:pPr>
            <w:r>
              <w:rPr>
                <w:color w:val="auto"/>
                <w:sz w:val="20"/>
                <w:szCs w:val="20"/>
              </w:rPr>
              <w:t>направить в форме электронного документа на указанный выше адрес электронной почты</w:t>
            </w:r>
          </w:p>
        </w:tc>
      </w:tr>
      <w:tr>
        <w:trPr/>
        <w:tc>
          <w:tcPr>
            <w:tcW w:w="3975" w:type="dxa"/>
            <w:gridSpan w:val="4"/>
            <w:tcBorders>
              <w:left w:val="single" w:sz="8" w:space="0" w:color="000000"/>
              <w:bottom w:val="single" w:sz="8" w:space="0" w:color="000000"/>
              <w:right w:val="single" w:sz="8" w:space="0" w:color="000000"/>
            </w:tcBorders>
            <w:shd w:color="auto" w:fill="auto" w:val="clear"/>
            <w:tcMar>
              <w:top w:w="0" w:type="dxa"/>
            </w:tcMar>
            <w:vAlign w:val="bottom"/>
          </w:tcPr>
          <w:p>
            <w:pPr>
              <w:pStyle w:val="Style33"/>
              <w:shd w:fill="FFFFFF" w:val="clear"/>
              <w:spacing w:before="0" w:after="0"/>
              <w:contextualSpacing/>
              <w:jc w:val="center"/>
              <w:rPr>
                <w:color w:val="auto"/>
                <w:sz w:val="20"/>
                <w:szCs w:val="20"/>
              </w:rPr>
            </w:pPr>
            <w:r>
              <w:rPr>
                <w:color w:val="auto"/>
                <w:sz w:val="20"/>
                <w:szCs w:val="20"/>
              </w:rPr>
              <w:t>дата</w:t>
            </w:r>
          </w:p>
        </w:tc>
        <w:tc>
          <w:tcPr>
            <w:tcW w:w="3252" w:type="dxa"/>
            <w:gridSpan w:val="2"/>
            <w:tcBorders>
              <w:bottom w:val="single" w:sz="8" w:space="0" w:color="000000"/>
              <w:right w:val="single" w:sz="8" w:space="0" w:color="000000"/>
            </w:tcBorders>
            <w:shd w:color="auto" w:fill="auto" w:val="clear"/>
            <w:tcMar>
              <w:top w:w="0" w:type="dxa"/>
              <w:left w:w="0" w:type="dxa"/>
            </w:tcMar>
            <w:vAlign w:val="bottom"/>
          </w:tcPr>
          <w:p>
            <w:pPr>
              <w:pStyle w:val="Style33"/>
              <w:shd w:fill="FFFFFF" w:val="clear"/>
              <w:spacing w:before="0" w:after="0"/>
              <w:contextualSpacing/>
              <w:jc w:val="center"/>
              <w:rPr>
                <w:color w:val="auto"/>
                <w:sz w:val="20"/>
                <w:szCs w:val="20"/>
              </w:rPr>
            </w:pPr>
            <w:r>
              <w:rPr>
                <w:color w:val="auto"/>
                <w:sz w:val="20"/>
                <w:szCs w:val="20"/>
              </w:rPr>
              <w:t>подпись заявителя (представителя заявителя)</w:t>
            </w:r>
          </w:p>
        </w:tc>
        <w:tc>
          <w:tcPr>
            <w:tcW w:w="2417" w:type="dxa"/>
            <w:gridSpan w:val="2"/>
            <w:tcBorders>
              <w:bottom w:val="single" w:sz="8" w:space="0" w:color="000000"/>
              <w:right w:val="single" w:sz="8" w:space="0" w:color="000000"/>
            </w:tcBorders>
            <w:shd w:color="auto" w:fill="auto" w:val="clear"/>
            <w:tcMar>
              <w:top w:w="0" w:type="dxa"/>
              <w:left w:w="0" w:type="dxa"/>
            </w:tcMar>
            <w:vAlign w:val="bottom"/>
          </w:tcPr>
          <w:p>
            <w:pPr>
              <w:pStyle w:val="Style33"/>
              <w:shd w:fill="FFFFFF" w:val="clear"/>
              <w:spacing w:before="0" w:after="0"/>
              <w:contextualSpacing/>
              <w:jc w:val="center"/>
              <w:rPr>
                <w:color w:val="auto"/>
                <w:sz w:val="20"/>
                <w:szCs w:val="20"/>
              </w:rPr>
            </w:pPr>
            <w:r>
              <w:rPr>
                <w:color w:val="auto"/>
                <w:sz w:val="20"/>
                <w:szCs w:val="20"/>
              </w:rPr>
              <w:t>ФИО заявителя (представителя заявителя)</w:t>
            </w:r>
          </w:p>
        </w:tc>
      </w:tr>
      <w:tr>
        <w:trPr/>
        <w:tc>
          <w:tcPr>
            <w:tcW w:w="9644" w:type="dxa"/>
            <w:gridSpan w:val="8"/>
            <w:tcBorders>
              <w:left w:val="single" w:sz="8" w:space="0" w:color="000000"/>
              <w:bottom w:val="single" w:sz="8" w:space="0" w:color="000000"/>
              <w:right w:val="single" w:sz="8" w:space="0" w:color="000000"/>
            </w:tcBorders>
            <w:shd w:color="auto" w:fill="auto" w:val="clear"/>
            <w:tcMar>
              <w:top w:w="0" w:type="dxa"/>
            </w:tcMar>
            <w:vAlign w:val="bottom"/>
          </w:tcPr>
          <w:p>
            <w:pPr>
              <w:pStyle w:val="Style33"/>
              <w:shd w:fill="FFFFFF" w:val="clear"/>
              <w:spacing w:before="0" w:after="0"/>
              <w:contextualSpacing/>
              <w:rPr>
                <w:color w:val="auto"/>
                <w:sz w:val="20"/>
                <w:szCs w:val="20"/>
              </w:rPr>
            </w:pPr>
            <w:r>
              <w:rPr>
                <w:color w:val="auto"/>
                <w:sz w:val="20"/>
                <w:szCs w:val="20"/>
              </w:rPr>
              <w:t xml:space="preserve">Подпись уполномоченного лица </w:t>
            </w:r>
          </w:p>
          <w:p>
            <w:pPr>
              <w:pStyle w:val="Style33"/>
              <w:shd w:fill="FFFFFF" w:val="clear"/>
              <w:spacing w:before="0" w:after="0"/>
              <w:contextualSpacing/>
              <w:rPr>
                <w:color w:val="auto"/>
                <w:sz w:val="20"/>
                <w:szCs w:val="20"/>
              </w:rPr>
            </w:pPr>
            <w:r>
              <w:rPr>
                <w:color w:val="auto"/>
                <w:sz w:val="20"/>
                <w:szCs w:val="20"/>
              </w:rPr>
              <w:t> </w:t>
            </w:r>
            <w:r>
              <w:rPr>
                <w:color w:val="auto"/>
                <w:sz w:val="20"/>
                <w:szCs w:val="20"/>
              </w:rPr>
              <w:t>____________________________/_________________________________/ФИО</w:t>
            </w:r>
          </w:p>
          <w:p>
            <w:pPr>
              <w:pStyle w:val="Style33"/>
              <w:shd w:fill="FFFFFF" w:val="clear"/>
              <w:spacing w:before="0" w:after="0"/>
              <w:contextualSpacing/>
              <w:rPr>
                <w:color w:val="auto"/>
                <w:sz w:val="20"/>
                <w:szCs w:val="20"/>
              </w:rPr>
            </w:pPr>
            <w:r>
              <w:rPr>
                <w:color w:val="auto"/>
                <w:sz w:val="20"/>
                <w:szCs w:val="20"/>
              </w:rPr>
              <w:t> </w:t>
            </w:r>
          </w:p>
          <w:p>
            <w:pPr>
              <w:pStyle w:val="Style33"/>
              <w:shd w:fill="FFFFFF" w:val="clear"/>
              <w:spacing w:before="0" w:after="0"/>
              <w:contextualSpacing/>
              <w:rPr>
                <w:color w:val="auto"/>
                <w:sz w:val="20"/>
                <w:szCs w:val="20"/>
              </w:rPr>
            </w:pPr>
            <w:r>
              <w:rPr>
                <w:color w:val="auto"/>
                <w:sz w:val="20"/>
                <w:szCs w:val="20"/>
              </w:rPr>
              <w:t>"_____" _____________ вх. N _________</w:t>
            </w:r>
          </w:p>
        </w:tc>
      </w:tr>
    </w:tbl>
    <w:p>
      <w:pPr>
        <w:pStyle w:val="Normal"/>
        <w:widowControl w:val="false"/>
        <w:shd w:fill="FFFFFF" w:val="clear"/>
        <w:spacing w:before="0" w:after="0"/>
        <w:ind w:firstLine="540"/>
        <w:contextualSpacing/>
        <w:jc w:val="right"/>
        <w:rPr>
          <w:rFonts w:eastAsia="Arial"/>
          <w:bCs/>
          <w:color w:val="000000"/>
          <w:szCs w:val="26"/>
        </w:rPr>
      </w:pPr>
      <w:r>
        <w:rPr>
          <w:rFonts w:eastAsia="Arial"/>
          <w:bCs/>
          <w:color w:val="000000"/>
          <w:szCs w:val="26"/>
        </w:rPr>
      </w:r>
    </w:p>
    <w:p>
      <w:pPr>
        <w:pStyle w:val="Normal"/>
        <w:shd w:fill="FFFFFF" w:val="clear"/>
        <w:ind w:hanging="0"/>
        <w:rPr/>
      </w:pPr>
      <w:r>
        <w:rPr/>
      </w:r>
    </w:p>
    <w:sectPr>
      <w:type w:val="nextPage"/>
      <w:pgSz w:w="11906" w:h="16838"/>
      <w:pgMar w:left="1701" w:right="567" w:header="0" w:top="840" w:footer="0" w:bottom="1130"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Liberation Sans">
    <w:altName w:val="Arial"/>
    <w:charset w:val="cc"/>
    <w:family w:val="roman"/>
    <w:pitch w:val="variable"/>
  </w:font>
  <w:font w:name="Calibri">
    <w:charset w:val="cc"/>
    <w:family w:val="roman"/>
    <w:pitch w:val="variable"/>
  </w:font>
  <w:font w:name="Times New Roman">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szCs w:val="24"/>
        <w:lang w:val="ru-RU" w:eastAsia="zh-CN" w:bidi="hi-IN"/>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keepNext w:val="true"/>
      <w:widowControl/>
      <w:shd w:val="clear" w:color="auto" w:fill="FFFFFF"/>
      <w:suppressAutoHyphens w:val="true"/>
      <w:bidi w:val="0"/>
      <w:spacing w:before="0" w:after="0"/>
      <w:ind w:firstLine="709"/>
      <w:jc w:val="both"/>
    </w:pPr>
    <w:rPr>
      <w:rFonts w:ascii="Arial" w:hAnsi="Arial" w:eastAsia="Mangal" w:cs="Arial"/>
      <w:color w:val="00000A"/>
      <w:kern w:val="0"/>
      <w:sz w:val="26"/>
      <w:szCs w:val="24"/>
      <w:lang w:eastAsia="hi-IN" w:val="ru-RU" w:bidi="hi-IN"/>
    </w:rPr>
  </w:style>
  <w:style w:type="character" w:styleId="DefaultParagraphFont" w:default="1">
    <w:name w:val="Default Paragraph Font"/>
    <w:uiPriority w:val="1"/>
    <w:semiHidden/>
    <w:unhideWhenUsed/>
    <w:qFormat/>
    <w:rPr/>
  </w:style>
  <w:style w:type="character" w:styleId="Style14" w:customStyle="1">
    <w:name w:val="Посещённая гиперссылка"/>
    <w:qFormat/>
    <w:rPr>
      <w:color w:val="800080"/>
      <w:u w:val="single"/>
    </w:rPr>
  </w:style>
  <w:style w:type="character" w:styleId="WWCharLFO8LVL1" w:customStyle="1">
    <w:name w:val="WW_CharLFO8LVL1"/>
    <w:qFormat/>
    <w:rPr>
      <w:b/>
      <w:sz w:val="24"/>
    </w:rPr>
  </w:style>
  <w:style w:type="character" w:styleId="WWCharLFO1LVL11" w:customStyle="1">
    <w:name w:val="WW_CharLFO1LVL1_1"/>
    <w:qFormat/>
    <w:rPr>
      <w:b/>
      <w:sz w:val="24"/>
    </w:rPr>
  </w:style>
  <w:style w:type="character" w:styleId="Style15" w:customStyle="1">
    <w:name w:val="Текст Знак"/>
    <w:qFormat/>
    <w:rPr>
      <w:sz w:val="21"/>
    </w:rPr>
  </w:style>
  <w:style w:type="character" w:styleId="WWCharLFO1LVL1" w:customStyle="1">
    <w:name w:val="WW_CharLFO1LVL1"/>
    <w:qFormat/>
    <w:rPr>
      <w:b/>
      <w:sz w:val="24"/>
    </w:rPr>
  </w:style>
  <w:style w:type="character" w:styleId="WWCharLFO9LVL1" w:customStyle="1">
    <w:name w:val="WW_CharLFO9LVL1"/>
    <w:qFormat/>
    <w:rPr>
      <w:b/>
      <w:sz w:val="24"/>
    </w:rPr>
  </w:style>
  <w:style w:type="character" w:styleId="Del" w:customStyle="1">
    <w:name w:val="del"/>
    <w:qFormat/>
    <w:rPr/>
  </w:style>
  <w:style w:type="character" w:styleId="WWCharLFO3LVL1" w:customStyle="1">
    <w:name w:val="WW_CharLFO3LVL1"/>
    <w:qFormat/>
    <w:rPr>
      <w:b/>
      <w:sz w:val="24"/>
    </w:rPr>
  </w:style>
  <w:style w:type="character" w:styleId="WWCharLFO7LVL1" w:customStyle="1">
    <w:name w:val="WW_CharLFO7LVL1"/>
    <w:qFormat/>
    <w:rPr>
      <w:b/>
      <w:sz w:val="24"/>
    </w:rPr>
  </w:style>
  <w:style w:type="character" w:styleId="Style16" w:customStyle="1">
    <w:name w:val="Привязка сноски"/>
    <w:rPr>
      <w:sz w:val="17"/>
      <w:vertAlign w:val="superscript"/>
    </w:rPr>
  </w:style>
  <w:style w:type="character" w:styleId="FootnoteCharacters">
    <w:name w:val="Footnote Characters"/>
    <w:qFormat/>
    <w:rPr>
      <w:sz w:val="17"/>
    </w:rPr>
  </w:style>
  <w:style w:type="character" w:styleId="Style17" w:customStyle="1">
    <w:name w:val="Текст сноски Знак"/>
    <w:qFormat/>
    <w:rPr>
      <w:rFonts w:ascii="Arial" w:hAnsi="Arial" w:cs="Arial"/>
      <w:sz w:val="20"/>
      <w:szCs w:val="20"/>
    </w:rPr>
  </w:style>
  <w:style w:type="character" w:styleId="Itemtext" w:customStyle="1">
    <w:name w:val="itemtext"/>
    <w:qFormat/>
    <w:rPr/>
  </w:style>
  <w:style w:type="character" w:styleId="Style18" w:customStyle="1">
    <w:name w:val="Нижний колонтитул Знак"/>
    <w:qFormat/>
    <w:rPr>
      <w:rFonts w:ascii="Arial" w:hAnsi="Arial" w:cs="Arial"/>
      <w:sz w:val="26"/>
    </w:rPr>
  </w:style>
  <w:style w:type="character" w:styleId="Style19" w:customStyle="1">
    <w:name w:val="Верхний колонтитул Знак"/>
    <w:qFormat/>
    <w:rPr>
      <w:rFonts w:ascii="Arial" w:hAnsi="Arial" w:cs="Arial"/>
      <w:sz w:val="26"/>
    </w:rPr>
  </w:style>
  <w:style w:type="character" w:styleId="Style20" w:customStyle="1">
    <w:name w:val="Текст выноски Знак"/>
    <w:qFormat/>
    <w:rPr>
      <w:rFonts w:ascii="Arial" w:hAnsi="Arial" w:eastAsia="Arial"/>
      <w:sz w:val="16"/>
      <w:szCs w:val="16"/>
    </w:rPr>
  </w:style>
  <w:style w:type="character" w:styleId="Style21" w:customStyle="1">
    <w:name w:val="Интернет-ссылка"/>
    <w:rPr>
      <w:color w:val="000080"/>
      <w:u w:val="single"/>
    </w:rPr>
  </w:style>
  <w:style w:type="character" w:styleId="Style22" w:customStyle="1">
    <w:name w:val="Символ сноски"/>
    <w:qFormat/>
    <w:rPr/>
  </w:style>
  <w:style w:type="character" w:styleId="Annotationreference">
    <w:name w:val="annotation reference"/>
    <w:basedOn w:val="DefaultParagraphFont"/>
    <w:uiPriority w:val="99"/>
    <w:semiHidden/>
    <w:unhideWhenUsed/>
    <w:qFormat/>
    <w:rsid w:val="003465b2"/>
    <w:rPr>
      <w:sz w:val="16"/>
      <w:szCs w:val="16"/>
    </w:rPr>
  </w:style>
  <w:style w:type="character" w:styleId="Style23" w:customStyle="1">
    <w:name w:val="Текст примечания Знак"/>
    <w:basedOn w:val="DefaultParagraphFont"/>
    <w:uiPriority w:val="99"/>
    <w:semiHidden/>
    <w:qFormat/>
    <w:rsid w:val="003465b2"/>
    <w:rPr>
      <w:rFonts w:ascii="Arial" w:hAnsi="Arial" w:eastAsia="Mangal"/>
      <w:szCs w:val="18"/>
      <w:shd w:fill="FFFFFF" w:val="clear"/>
      <w:lang w:eastAsia="hi-IN"/>
    </w:rPr>
  </w:style>
  <w:style w:type="character" w:styleId="Style24" w:customStyle="1">
    <w:name w:val="Тема примечания Знак"/>
    <w:basedOn w:val="Style23"/>
    <w:uiPriority w:val="99"/>
    <w:semiHidden/>
    <w:qFormat/>
    <w:rsid w:val="003465b2"/>
    <w:rPr>
      <w:rFonts w:ascii="Arial" w:hAnsi="Arial" w:eastAsia="Mangal"/>
      <w:szCs w:val="18"/>
      <w:shd w:fill="FFFFFF" w:val="clear"/>
      <w:lang w:eastAsia="hi-IN"/>
    </w:rPr>
  </w:style>
  <w:style w:type="character" w:styleId="Style25" w:customStyle="1">
    <w:name w:val="Привязка концевой сноски"/>
    <w:rPr>
      <w:vertAlign w:val="superscript"/>
    </w:rPr>
  </w:style>
  <w:style w:type="character" w:styleId="Style26" w:customStyle="1">
    <w:name w:val="Символ концевой сноски"/>
    <w:qFormat/>
    <w:rPr/>
  </w:style>
  <w:style w:type="paragraph" w:styleId="Style27" w:customStyle="1">
    <w:name w:val="Заголовок"/>
    <w:basedOn w:val="Normal"/>
    <w:next w:val="Style28"/>
    <w:qFormat/>
    <w:pPr>
      <w:shd w:fill="FFFFFF" w:val="clear"/>
      <w:spacing w:before="240" w:after="120"/>
    </w:pPr>
    <w:rPr>
      <w:rFonts w:ascii="Liberation Sans" w:hAnsi="Liberation Sans" w:eastAsia="Microsoft YaHei" w:cs="Mangal"/>
      <w:sz w:val="28"/>
      <w:szCs w:val="28"/>
    </w:rPr>
  </w:style>
  <w:style w:type="paragraph" w:styleId="Style28">
    <w:name w:val="Body Text"/>
    <w:basedOn w:val="Normal"/>
    <w:pPr>
      <w:shd w:fill="FFFFFF" w:val="clear"/>
      <w:spacing w:lineRule="auto" w:line="276" w:before="0" w:after="140"/>
    </w:pPr>
    <w:rPr/>
  </w:style>
  <w:style w:type="paragraph" w:styleId="Style29">
    <w:name w:val="List"/>
    <w:basedOn w:val="Style28"/>
    <w:pPr>
      <w:shd w:fill="FFFFFF" w:val="clear"/>
    </w:pPr>
    <w:rPr>
      <w:rFonts w:cs="Mangal"/>
    </w:rPr>
  </w:style>
  <w:style w:type="paragraph" w:styleId="Style30">
    <w:name w:val="Caption"/>
    <w:basedOn w:val="Normal"/>
    <w:qFormat/>
    <w:pPr>
      <w:suppressLineNumbers/>
      <w:shd w:fill="FFFFFF" w:val="clear"/>
      <w:spacing w:before="120" w:after="120"/>
    </w:pPr>
    <w:rPr>
      <w:rFonts w:cs="Mangal"/>
      <w:i/>
      <w:iCs/>
      <w:sz w:val="24"/>
      <w:szCs w:val="24"/>
    </w:rPr>
  </w:style>
  <w:style w:type="paragraph" w:styleId="Style31">
    <w:name w:val="Указатель"/>
    <w:basedOn w:val="Normal"/>
    <w:qFormat/>
    <w:pPr>
      <w:suppressLineNumbers/>
      <w:shd w:fill="FFFFFF" w:val="clear"/>
    </w:pPr>
    <w:rPr>
      <w:rFonts w:cs="Mangal"/>
    </w:rPr>
  </w:style>
  <w:style w:type="paragraph" w:styleId="Caption">
    <w:name w:val="caption"/>
    <w:basedOn w:val="Normal"/>
    <w:qFormat/>
    <w:pPr>
      <w:suppressLineNumbers/>
      <w:shd w:fill="FFFFFF" w:val="clear"/>
      <w:spacing w:before="120" w:after="120"/>
    </w:pPr>
    <w:rPr>
      <w:rFonts w:cs="Mangal"/>
      <w:i/>
      <w:iCs/>
      <w:sz w:val="24"/>
    </w:rPr>
  </w:style>
  <w:style w:type="paragraph" w:styleId="Indexheading">
    <w:name w:val="index heading"/>
    <w:basedOn w:val="Normal"/>
    <w:qFormat/>
    <w:pPr>
      <w:suppressLineNumbers/>
      <w:shd w:fill="FFFFFF" w:val="clear"/>
    </w:pPr>
    <w:rPr>
      <w:rFonts w:cs="Mangal"/>
    </w:rPr>
  </w:style>
  <w:style w:type="paragraph" w:styleId="Style32">
    <w:name w:val="Title"/>
    <w:basedOn w:val="Normal"/>
    <w:qFormat/>
    <w:pPr>
      <w:suppressLineNumbers/>
      <w:shd w:fill="FFFFFF" w:val="clear"/>
      <w:spacing w:before="120" w:after="120"/>
    </w:pPr>
    <w:rPr>
      <w:rFonts w:cs="Mangal"/>
      <w:i/>
      <w:iCs/>
      <w:sz w:val="24"/>
    </w:rPr>
  </w:style>
  <w:style w:type="paragraph" w:styleId="Western" w:customStyle="1">
    <w:name w:val="western"/>
    <w:basedOn w:val="Normal"/>
    <w:qFormat/>
    <w:pPr>
      <w:shd w:fill="FFFFFF" w:val="clear"/>
      <w:spacing w:lineRule="exact" w:line="288" w:before="100" w:after="100"/>
    </w:pPr>
    <w:rPr>
      <w:rFonts w:eastAsia="Arial"/>
      <w:szCs w:val="26"/>
      <w:lang w:eastAsia="ru-RU"/>
    </w:rPr>
  </w:style>
  <w:style w:type="paragraph" w:styleId="1" w:customStyle="1">
    <w:name w:val="Обычная таблица1"/>
    <w:qFormat/>
    <w:pPr>
      <w:widowControl/>
      <w:bidi w:val="0"/>
      <w:spacing w:lineRule="auto" w:line="276" w:before="0" w:after="200"/>
      <w:jc w:val="left"/>
    </w:pPr>
    <w:rPr>
      <w:rFonts w:ascii="Calibri" w:hAnsi="Calibri" w:eastAsia="Times New Roman" w:cs="Liberation Serif"/>
      <w:color w:val="00000A"/>
      <w:kern w:val="0"/>
      <w:sz w:val="22"/>
      <w:szCs w:val="22"/>
      <w:lang w:eastAsia="ar-SA" w:val="ru-RU" w:bidi="hi-IN"/>
    </w:rPr>
  </w:style>
  <w:style w:type="paragraph" w:styleId="NormalWeb">
    <w:name w:val="Normal (Web)"/>
    <w:basedOn w:val="Normal"/>
    <w:qFormat/>
    <w:pPr>
      <w:shd w:fill="FFFFFF" w:val="clear"/>
      <w:spacing w:before="100" w:after="0"/>
    </w:pPr>
    <w:rPr>
      <w:rFonts w:ascii="Times New Roman" w:hAnsi="Times New Roman" w:eastAsia="Times New Roman" w:cs="Times New Roman"/>
      <w:sz w:val="24"/>
      <w:lang w:eastAsia="ru-RU"/>
    </w:rPr>
  </w:style>
  <w:style w:type="paragraph" w:styleId="PlainText">
    <w:name w:val="Plain Text"/>
    <w:basedOn w:val="Normal"/>
    <w:qFormat/>
    <w:pPr>
      <w:shd w:fill="FFFFFF" w:val="clear"/>
    </w:pPr>
    <w:rPr>
      <w:sz w:val="21"/>
    </w:rPr>
  </w:style>
  <w:style w:type="paragraph" w:styleId="11" w:customStyle="1">
    <w:name w:val="Обычный1"/>
    <w:qFormat/>
    <w:pPr>
      <w:widowControl/>
      <w:suppressAutoHyphens w:val="true"/>
      <w:bidi w:val="0"/>
      <w:spacing w:lineRule="auto" w:line="276" w:before="0" w:after="0"/>
      <w:jc w:val="left"/>
    </w:pPr>
    <w:rPr>
      <w:rFonts w:eastAsia="Mangal" w:cs="Liberation Serif" w:ascii="Liberation Serif" w:hAnsi="Liberation Serif"/>
      <w:color w:val="00000A"/>
      <w:kern w:val="0"/>
      <w:sz w:val="26"/>
      <w:szCs w:val="24"/>
      <w:lang w:eastAsia="hi-IN" w:val="ru-RU" w:bidi="hi-IN"/>
    </w:rPr>
  </w:style>
  <w:style w:type="paragraph" w:styleId="12" w:customStyle="1">
    <w:name w:val="Текст сноски1"/>
    <w:basedOn w:val="Normal"/>
    <w:qFormat/>
    <w:pPr>
      <w:shd w:fill="FFFFFF" w:val="clear"/>
    </w:pPr>
    <w:rPr/>
  </w:style>
  <w:style w:type="paragraph" w:styleId="ConsTitle" w:customStyle="1">
    <w:name w:val="ConsTitle"/>
    <w:qFormat/>
    <w:pPr>
      <w:keepNext w:val="true"/>
      <w:widowControl/>
      <w:shd w:val="clear" w:color="auto" w:fill="FFFFFF"/>
      <w:suppressAutoHyphens w:val="true"/>
      <w:bidi w:val="0"/>
      <w:spacing w:before="0" w:after="0"/>
      <w:ind w:right="19772" w:hanging="0"/>
      <w:jc w:val="left"/>
    </w:pPr>
    <w:rPr>
      <w:rFonts w:ascii="Arial" w:hAnsi="Arial" w:eastAsia="Arial" w:cs="Liberation Serif"/>
      <w:b/>
      <w:bCs/>
      <w:color w:val="00000A"/>
      <w:kern w:val="0"/>
      <w:sz w:val="26"/>
      <w:szCs w:val="20"/>
      <w:lang w:eastAsia="hi-IN" w:val="ru-RU" w:bidi="hi-IN"/>
    </w:rPr>
  </w:style>
  <w:style w:type="paragraph" w:styleId="ConsPlusNormal" w:customStyle="1">
    <w:name w:val="ConsPlusNormal"/>
    <w:qFormat/>
    <w:pPr>
      <w:keepNext w:val="true"/>
      <w:widowControl/>
      <w:shd w:val="clear" w:color="auto" w:fill="FFFFFF"/>
      <w:suppressAutoHyphens w:val="true"/>
      <w:bidi w:val="0"/>
      <w:spacing w:before="0" w:after="0"/>
      <w:jc w:val="left"/>
    </w:pPr>
    <w:rPr>
      <w:rFonts w:ascii="Arial" w:hAnsi="Arial" w:eastAsia="0" w:cs="Liberation Serif"/>
      <w:color w:val="00000A"/>
      <w:kern w:val="0"/>
      <w:sz w:val="26"/>
      <w:szCs w:val="20"/>
      <w:lang w:eastAsia="hi-IN" w:val="ru-RU" w:bidi="hi-IN"/>
    </w:rPr>
  </w:style>
  <w:style w:type="paragraph" w:styleId="NoSpacing">
    <w:name w:val="No Spacing"/>
    <w:qFormat/>
    <w:pPr>
      <w:keepNext w:val="true"/>
      <w:widowControl/>
      <w:shd w:val="clear" w:color="auto" w:fill="FFFFFF"/>
      <w:suppressAutoHyphens w:val="true"/>
      <w:bidi w:val="0"/>
      <w:spacing w:before="0" w:after="0"/>
      <w:jc w:val="left"/>
    </w:pPr>
    <w:rPr>
      <w:rFonts w:ascii="Times New Roman" w:hAnsi="Times New Roman" w:eastAsia="Mangal" w:cs="Liberation Serif"/>
      <w:color w:val="00000A"/>
      <w:kern w:val="0"/>
      <w:sz w:val="26"/>
      <w:szCs w:val="20"/>
      <w:lang w:eastAsia="hi-IN" w:val="ru-RU" w:bidi="hi-IN"/>
    </w:rPr>
  </w:style>
  <w:style w:type="paragraph" w:styleId="ConsPlusNonformat" w:customStyle="1">
    <w:name w:val="ConsPlusNonformat"/>
    <w:qFormat/>
    <w:pPr>
      <w:keepNext w:val="true"/>
      <w:widowControl/>
      <w:shd w:val="clear" w:color="auto" w:fill="FFFFFF"/>
      <w:suppressAutoHyphens w:val="true"/>
      <w:bidi w:val="0"/>
      <w:spacing w:before="0" w:after="0"/>
      <w:jc w:val="left"/>
    </w:pPr>
    <w:rPr>
      <w:rFonts w:ascii="Courier New" w:hAnsi="Courier New" w:eastAsia="0" w:cs="Liberation Serif"/>
      <w:color w:val="00000A"/>
      <w:kern w:val="0"/>
      <w:sz w:val="26"/>
      <w:szCs w:val="20"/>
      <w:lang w:eastAsia="hi-IN" w:val="ru-RU" w:bidi="hi-IN"/>
    </w:rPr>
  </w:style>
  <w:style w:type="paragraph" w:styleId="ConsPlusTitle" w:customStyle="1">
    <w:name w:val="ConsPlusTitle"/>
    <w:qFormat/>
    <w:pPr>
      <w:keepNext w:val="true"/>
      <w:widowControl/>
      <w:shd w:val="clear" w:color="auto" w:fill="FFFFFF"/>
      <w:suppressAutoHyphens w:val="true"/>
      <w:bidi w:val="0"/>
      <w:spacing w:before="0" w:after="0"/>
      <w:jc w:val="left"/>
    </w:pPr>
    <w:rPr>
      <w:rFonts w:ascii="Arial" w:hAnsi="Arial" w:eastAsia="Arial" w:cs="Liberation Serif"/>
      <w:b/>
      <w:bCs/>
      <w:color w:val="00000A"/>
      <w:kern w:val="0"/>
      <w:sz w:val="26"/>
      <w:szCs w:val="26"/>
      <w:lang w:eastAsia="hi-IN" w:val="ru-RU" w:bidi="hi-IN"/>
    </w:rPr>
  </w:style>
  <w:style w:type="paragraph" w:styleId="BalloonText">
    <w:name w:val="Balloon Text"/>
    <w:qFormat/>
    <w:pPr>
      <w:keepNext w:val="true"/>
      <w:widowControl/>
      <w:shd w:val="clear" w:color="auto" w:fill="FFFFFF"/>
      <w:suppressAutoHyphens w:val="true"/>
      <w:bidi w:val="0"/>
      <w:spacing w:lineRule="exact" w:line="240" w:before="0" w:after="0"/>
      <w:ind w:firstLine="709"/>
      <w:jc w:val="both"/>
    </w:pPr>
    <w:rPr>
      <w:rFonts w:ascii="Arial" w:hAnsi="Arial" w:eastAsia="Arial" w:cs="Mangal"/>
      <w:color w:val="00000A"/>
      <w:kern w:val="0"/>
      <w:sz w:val="16"/>
      <w:szCs w:val="16"/>
      <w:lang w:val="ru-RU" w:eastAsia="zh-CN" w:bidi="hi-IN"/>
    </w:rPr>
  </w:style>
  <w:style w:type="paragraph" w:styleId="ListParagraph">
    <w:name w:val="List Paragraph"/>
    <w:qFormat/>
    <w:pPr>
      <w:keepNext w:val="true"/>
      <w:widowControl/>
      <w:shd w:val="clear" w:color="auto" w:fill="FFFFFF"/>
      <w:suppressAutoHyphens w:val="true"/>
      <w:bidi w:val="0"/>
      <w:spacing w:lineRule="exact" w:line="240" w:before="0" w:after="0"/>
      <w:ind w:left="720" w:hanging="0"/>
      <w:jc w:val="both"/>
    </w:pPr>
    <w:rPr>
      <w:rFonts w:ascii="Arial" w:hAnsi="Arial" w:cs="Arial" w:eastAsia="NSimSun"/>
      <w:color w:val="00000A"/>
      <w:kern w:val="0"/>
      <w:sz w:val="26"/>
      <w:szCs w:val="24"/>
      <w:lang w:val="ru-RU" w:eastAsia="zh-CN" w:bidi="hi-IN"/>
    </w:rPr>
  </w:style>
  <w:style w:type="paragraph" w:styleId="Style33" w:customStyle="1">
    <w:name w:val="Содержимое таблицы"/>
    <w:basedOn w:val="Normal"/>
    <w:qFormat/>
    <w:pPr>
      <w:shd w:fill="FFFFFF" w:val="clear"/>
    </w:pPr>
    <w:rPr/>
  </w:style>
  <w:style w:type="paragraph" w:styleId="Style34" w:customStyle="1">
    <w:name w:val="текст сноски"/>
    <w:basedOn w:val="Normal"/>
    <w:qFormat/>
    <w:pPr>
      <w:shd w:fill="FFFFFF" w:val="clear"/>
    </w:pPr>
    <w:rPr/>
  </w:style>
  <w:style w:type="paragraph" w:styleId="Style35" w:customStyle="1">
    <w:name w:val="Заголовок таблицы"/>
    <w:basedOn w:val="Style33"/>
    <w:qFormat/>
    <w:pPr>
      <w:suppressLineNumbers/>
      <w:shd w:fill="FFFFFF" w:val="clear"/>
      <w:jc w:val="center"/>
    </w:pPr>
    <w:rPr>
      <w:b/>
      <w:bCs/>
    </w:rPr>
  </w:style>
  <w:style w:type="paragraph" w:styleId="Annotationtext">
    <w:name w:val="annotation text"/>
    <w:basedOn w:val="Normal"/>
    <w:uiPriority w:val="99"/>
    <w:semiHidden/>
    <w:unhideWhenUsed/>
    <w:qFormat/>
    <w:rsid w:val="003465b2"/>
    <w:pPr>
      <w:shd w:fill="FFFFFF" w:val="clear"/>
    </w:pPr>
    <w:rPr>
      <w:rFonts w:cs="Mangal"/>
      <w:sz w:val="20"/>
      <w:szCs w:val="18"/>
    </w:rPr>
  </w:style>
  <w:style w:type="paragraph" w:styleId="Annotationsubject">
    <w:name w:val="annotation subject"/>
    <w:basedOn w:val="Annotationtext"/>
    <w:uiPriority w:val="99"/>
    <w:semiHidden/>
    <w:unhideWhenUsed/>
    <w:qFormat/>
    <w:rsid w:val="003465b2"/>
    <w:pPr>
      <w:shd w:fill="FFFFFF" w:val="clear"/>
    </w:pPr>
    <w:rPr>
      <w:b/>
      <w:bCs/>
    </w:rPr>
  </w:style>
  <w:style w:type="paragraph" w:styleId="Style36">
    <w:name w:val="Footnote Text"/>
    <w:basedOn w:val="Normal"/>
    <w:qFormat/>
    <w:pPr>
      <w:shd w:fill="FFFFFF" w:val="clear"/>
    </w:pPr>
    <w:rPr>
      <w:rFonts w:ascii="Times New Roman" w:hAnsi="Times New Roman" w:eastAsia="Times New Roman" w:cs="Times New Roman"/>
      <w:sz w:val="20"/>
      <w:szCs w:val="20"/>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mfcto.ru/"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751</TotalTime>
  <Application>LibreOffice/6.3.4.2$Windows_x86 LibreOffice_project/60da17e045e08f1793c57c00ba83cdfce946d0aa</Application>
  <Pages>20</Pages>
  <Words>7470</Words>
  <Characters>56773</Characters>
  <CharactersWithSpaces>64217</CharactersWithSpaces>
  <Paragraphs>346</Paragraphs>
  <Company>КонсультантПлюс Версия 4023.00.53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2024-03-19T15:09:00Z</dcterms:created>
  <dc:creator/>
  <dc:description/>
  <dc:language>ru-RU</dc:language>
  <cp:lastModifiedBy>Созонова Евгения Анатольевна</cp:lastModifiedBy>
  <cp:lastPrinted>2024-03-25T06:08:00Z</cp:lastPrinted>
  <dcterms:modified xsi:type="dcterms:W3CDTF">2024-03-25T08:11:00Z</dcterms:modified>
  <cp:revision>122</cp:revision>
  <dc:subject/>
  <dc:title>Постановление Администрации Уватского муниципального района от 26.10.2021 N 207"Об утверждении административного регламента предоставления муниципальной услуги: "Присвоение объектам адресации адресов и аннулирование таких адресов"</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КонсультантПлюс Версия 4023.00.53</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